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BC" w:rsidRPr="00BA796A" w:rsidRDefault="00F17BBC" w:rsidP="00F17BBC">
      <w:pPr>
        <w:widowControl/>
        <w:spacing w:line="450" w:lineRule="atLeast"/>
        <w:rPr>
          <w:rFonts w:ascii="黑体" w:eastAsia="黑体" w:hAnsi="宋体" w:cs="宋体"/>
          <w:bCs/>
          <w:color w:val="000000"/>
          <w:kern w:val="0"/>
          <w:sz w:val="32"/>
          <w:szCs w:val="32"/>
        </w:rPr>
      </w:pPr>
      <w:r w:rsidRPr="00BA796A">
        <w:rPr>
          <w:rFonts w:ascii="黑体" w:eastAsia="黑体" w:hAnsi="宋体" w:cs="宋体" w:hint="eastAsia"/>
          <w:bCs/>
          <w:color w:val="000000"/>
          <w:kern w:val="0"/>
          <w:sz w:val="32"/>
          <w:szCs w:val="32"/>
        </w:rPr>
        <w:t>附件1</w:t>
      </w:r>
    </w:p>
    <w:p w:rsidR="00F17BBC" w:rsidRPr="00BA796A" w:rsidRDefault="00F17BBC" w:rsidP="00F17BBC">
      <w:pPr>
        <w:widowControl/>
        <w:spacing w:line="450" w:lineRule="atLeast"/>
        <w:jc w:val="center"/>
        <w:rPr>
          <w:rFonts w:ascii="宋体" w:eastAsia="宋体" w:hAnsi="宋体" w:cs="宋体"/>
          <w:b/>
          <w:bCs/>
          <w:color w:val="000000"/>
          <w:kern w:val="0"/>
          <w:sz w:val="36"/>
          <w:szCs w:val="36"/>
        </w:rPr>
      </w:pPr>
      <w:r w:rsidRPr="00BA796A">
        <w:rPr>
          <w:rFonts w:ascii="宋体" w:eastAsia="宋体" w:hAnsi="宋体" w:cs="宋体" w:hint="eastAsia"/>
          <w:b/>
          <w:bCs/>
          <w:color w:val="000000"/>
          <w:kern w:val="0"/>
          <w:sz w:val="36"/>
          <w:szCs w:val="36"/>
        </w:rPr>
        <w:t>社区便民服务中心建设指南</w:t>
      </w:r>
    </w:p>
    <w:p w:rsidR="00F17BBC" w:rsidRPr="00BA796A" w:rsidRDefault="00F17BBC" w:rsidP="00F17BBC">
      <w:pPr>
        <w:widowControl/>
        <w:spacing w:line="450" w:lineRule="atLeast"/>
        <w:jc w:val="center"/>
        <w:rPr>
          <w:rFonts w:ascii="Simsun" w:eastAsia="宋体" w:hAnsi="Simsun" w:cs="宋体" w:hint="eastAsia"/>
          <w:color w:val="000000"/>
          <w:kern w:val="0"/>
          <w:szCs w:val="21"/>
        </w:rPr>
      </w:pPr>
    </w:p>
    <w:p w:rsidR="00F17BBC" w:rsidRPr="00BA796A" w:rsidRDefault="00F17BBC" w:rsidP="00F17BBC">
      <w:pPr>
        <w:spacing w:line="450" w:lineRule="atLeast"/>
        <w:ind w:firstLineChars="200" w:firstLine="640"/>
        <w:rPr>
          <w:rFonts w:ascii="黑体" w:eastAsia="黑体" w:hAnsi="Simsun" w:cs="宋体" w:hint="eastAsia"/>
          <w:color w:val="000000"/>
          <w:kern w:val="0"/>
          <w:sz w:val="32"/>
          <w:szCs w:val="32"/>
        </w:rPr>
      </w:pPr>
      <w:bookmarkStart w:id="0" w:name="_Toc259785271"/>
      <w:r w:rsidRPr="00BA796A">
        <w:rPr>
          <w:rFonts w:ascii="黑体" w:eastAsia="黑体" w:hAnsi="宋体" w:cs="宋体" w:hint="eastAsia"/>
          <w:bCs/>
          <w:color w:val="000000"/>
          <w:kern w:val="0"/>
          <w:sz w:val="32"/>
          <w:szCs w:val="32"/>
        </w:rPr>
        <w:t>一</w:t>
      </w:r>
      <w:bookmarkEnd w:id="0"/>
      <w:r w:rsidRPr="00BA796A">
        <w:rPr>
          <w:rFonts w:ascii="黑体" w:eastAsia="黑体" w:hAnsi="宋体" w:cs="宋体" w:hint="eastAsia"/>
          <w:bCs/>
          <w:color w:val="000000"/>
          <w:kern w:val="0"/>
          <w:sz w:val="32"/>
          <w:szCs w:val="32"/>
        </w:rPr>
        <w:t>、总体要求</w:t>
      </w:r>
    </w:p>
    <w:p w:rsidR="00F17BBC" w:rsidRPr="00BA796A" w:rsidRDefault="00F17BBC" w:rsidP="00F17BBC">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（一）</w:t>
      </w:r>
      <w:proofErr w:type="gramStart"/>
      <w:r w:rsidRPr="00BA796A">
        <w:rPr>
          <w:rFonts w:ascii="仿宋_GB2312" w:eastAsia="仿宋_GB2312" w:hAnsi="宋体" w:cs="宋体" w:hint="eastAsia"/>
          <w:color w:val="000000"/>
          <w:kern w:val="0"/>
          <w:sz w:val="32"/>
          <w:szCs w:val="32"/>
        </w:rPr>
        <w:t>本建设</w:t>
      </w:r>
      <w:proofErr w:type="gramEnd"/>
      <w:r w:rsidRPr="00BA796A">
        <w:rPr>
          <w:rFonts w:ascii="仿宋_GB2312" w:eastAsia="仿宋_GB2312" w:hAnsi="宋体" w:cs="宋体" w:hint="eastAsia"/>
          <w:color w:val="000000"/>
          <w:kern w:val="0"/>
          <w:sz w:val="32"/>
          <w:szCs w:val="32"/>
        </w:rPr>
        <w:t>指南所指社区便民服务中心是指以社区居民为主要服务对象，以满足社区居民基本生活消费和便民、利民需求为目标，提供公益性和商业性相结合的餐饮、家政、托幼、维修等居民生活服务的便民服务集聚综合体。</w:t>
      </w:r>
    </w:p>
    <w:p w:rsidR="00F17BBC" w:rsidRPr="00BA796A" w:rsidRDefault="00F17BBC" w:rsidP="00F17BBC">
      <w:pPr>
        <w:spacing w:line="450" w:lineRule="atLeast"/>
        <w:ind w:firstLineChars="200" w:firstLine="640"/>
        <w:jc w:val="left"/>
        <w:rPr>
          <w:rFonts w:ascii="仿宋_GB2312" w:eastAsia="仿宋_GB2312" w:hAnsi="宋体" w:cs="宋体"/>
          <w:color w:val="000000"/>
          <w:kern w:val="0"/>
          <w:sz w:val="32"/>
          <w:szCs w:val="32"/>
        </w:rPr>
      </w:pPr>
      <w:proofErr w:type="gramStart"/>
      <w:r w:rsidRPr="00BA796A">
        <w:rPr>
          <w:rFonts w:ascii="仿宋_GB2312" w:eastAsia="仿宋_GB2312" w:hAnsi="宋体" w:cs="宋体" w:hint="eastAsia"/>
          <w:color w:val="000000"/>
          <w:kern w:val="0"/>
          <w:sz w:val="32"/>
          <w:szCs w:val="32"/>
        </w:rPr>
        <w:t>本建设</w:t>
      </w:r>
      <w:proofErr w:type="gramEnd"/>
      <w:r w:rsidRPr="00BA796A">
        <w:rPr>
          <w:rFonts w:ascii="仿宋_GB2312" w:eastAsia="仿宋_GB2312" w:hAnsi="宋体" w:cs="宋体" w:hint="eastAsia"/>
          <w:color w:val="000000"/>
          <w:kern w:val="0"/>
          <w:sz w:val="32"/>
          <w:szCs w:val="32"/>
        </w:rPr>
        <w:t>指南适用于城市社区便民服务中心的新建、改造及经营管理。</w:t>
      </w:r>
    </w:p>
    <w:p w:rsidR="00F17BBC" w:rsidRPr="00BA796A" w:rsidRDefault="00F17BBC" w:rsidP="00F17BBC">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二）社区便民服务中心必须符合国家相关法律法规，综合考虑经济社会发展水平，从居民日常生活需求出发，充分利用现有公共服务和商业设施，合理确定建设水平，做到规模适宜、功能完善、安全卫生、运行经济。</w:t>
      </w:r>
    </w:p>
    <w:p w:rsidR="00F17BBC" w:rsidRPr="00BA796A" w:rsidRDefault="00F17BBC" w:rsidP="00F17BBC">
      <w:pPr>
        <w:spacing w:line="450" w:lineRule="atLeast"/>
        <w:ind w:firstLineChars="200" w:firstLine="640"/>
        <w:rPr>
          <w:rFonts w:ascii="黑体" w:eastAsia="黑体" w:hAnsi="宋体" w:cs="宋体"/>
          <w:color w:val="000000"/>
          <w:kern w:val="0"/>
          <w:sz w:val="32"/>
          <w:szCs w:val="32"/>
        </w:rPr>
      </w:pPr>
      <w:bookmarkStart w:id="1" w:name="_Toc259785272"/>
      <w:r w:rsidRPr="00BA796A">
        <w:rPr>
          <w:rFonts w:ascii="黑体" w:eastAsia="黑体" w:hAnsi="宋体" w:cs="宋体" w:hint="eastAsia"/>
          <w:color w:val="000000"/>
          <w:kern w:val="0"/>
          <w:sz w:val="32"/>
          <w:szCs w:val="32"/>
        </w:rPr>
        <w:t>二、建设规模及</w:t>
      </w:r>
      <w:bookmarkEnd w:id="1"/>
      <w:r w:rsidRPr="00BA796A">
        <w:rPr>
          <w:rFonts w:ascii="黑体" w:eastAsia="黑体" w:hAnsi="宋体" w:cs="宋体" w:hint="eastAsia"/>
          <w:color w:val="000000"/>
          <w:kern w:val="0"/>
          <w:sz w:val="32"/>
          <w:szCs w:val="32"/>
        </w:rPr>
        <w:t>服务功能要求</w:t>
      </w:r>
    </w:p>
    <w:p w:rsidR="00F17BBC" w:rsidRPr="00BA796A" w:rsidRDefault="00F17BBC" w:rsidP="00F17BBC">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（一）社区便民服务中心规模应以社区居住人口数量为主要依据，兼顾服务半径确定，营业面积300平方米以上。</w:t>
      </w:r>
    </w:p>
    <w:p w:rsidR="00F17BBC" w:rsidRPr="00BA796A" w:rsidRDefault="00F17BBC" w:rsidP="00F17BBC">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二）社区便民服务中心服务功能应与社区的人口结构、居民消费水平、习惯和方式相适应，以满足居民日常生活需求、便捷消费为目标，具体分为基本服务和选择性服务，详见下表。新建社区便民服务中心应优先考虑配置基本服务功能，改造的社区便民服务中心应通过多种途径逐步完善基本</w:t>
      </w:r>
      <w:r w:rsidRPr="00BA796A">
        <w:rPr>
          <w:rFonts w:ascii="仿宋_GB2312" w:eastAsia="仿宋_GB2312" w:hAnsi="宋体" w:cs="宋体" w:hint="eastAsia"/>
          <w:color w:val="000000"/>
          <w:kern w:val="0"/>
          <w:sz w:val="32"/>
          <w:szCs w:val="32"/>
        </w:rPr>
        <w:lastRenderedPageBreak/>
        <w:t>服务功能。</w:t>
      </w:r>
    </w:p>
    <w:p w:rsidR="00F17BBC" w:rsidRPr="00BA796A" w:rsidRDefault="00F17BBC" w:rsidP="00F17BBC">
      <w:pPr>
        <w:spacing w:line="450" w:lineRule="atLeast"/>
        <w:jc w:val="center"/>
        <w:rPr>
          <w:rFonts w:ascii="黑体" w:eastAsia="黑体" w:hAnsi="宋体" w:cs="宋体"/>
          <w:kern w:val="0"/>
          <w:sz w:val="24"/>
          <w:szCs w:val="24"/>
        </w:rPr>
      </w:pPr>
      <w:r w:rsidRPr="00BA796A">
        <w:rPr>
          <w:rFonts w:ascii="黑体" w:eastAsia="黑体" w:hAnsi="宋体" w:cs="宋体" w:hint="eastAsia"/>
          <w:kern w:val="0"/>
          <w:sz w:val="24"/>
          <w:szCs w:val="24"/>
        </w:rPr>
        <w:t>社区便民服务中心服务功能组合表</w:t>
      </w:r>
    </w:p>
    <w:p w:rsidR="00F17BBC" w:rsidRPr="00BA796A" w:rsidRDefault="00F17BBC" w:rsidP="00F17BBC">
      <w:pPr>
        <w:spacing w:line="200" w:lineRule="atLeast"/>
        <w:jc w:val="center"/>
        <w:rPr>
          <w:rFonts w:ascii="黑体" w:eastAsia="黑体" w:hAnsi="宋体" w:cs="宋体"/>
          <w:kern w:val="0"/>
          <w:sz w:val="24"/>
          <w:szCs w:val="24"/>
        </w:rPr>
      </w:pPr>
    </w:p>
    <w:tbl>
      <w:tblPr>
        <w:tblStyle w:val="a3"/>
        <w:tblW w:w="8772" w:type="dxa"/>
        <w:jc w:val="center"/>
        <w:tblInd w:w="-1277" w:type="dxa"/>
        <w:tblLayout w:type="fixed"/>
        <w:tblLook w:val="04A0"/>
      </w:tblPr>
      <w:tblGrid>
        <w:gridCol w:w="3934"/>
        <w:gridCol w:w="4838"/>
      </w:tblGrid>
      <w:tr w:rsidR="00F17BBC" w:rsidRPr="00BA796A" w:rsidTr="008A45F4">
        <w:trPr>
          <w:trHeight w:val="511"/>
          <w:jc w:val="center"/>
        </w:trPr>
        <w:tc>
          <w:tcPr>
            <w:tcW w:w="3935" w:type="dxa"/>
            <w:tcBorders>
              <w:top w:val="single" w:sz="4" w:space="0" w:color="auto"/>
              <w:left w:val="single" w:sz="4" w:space="0" w:color="auto"/>
              <w:bottom w:val="single" w:sz="4" w:space="0" w:color="auto"/>
              <w:right w:val="single" w:sz="4" w:space="0" w:color="auto"/>
            </w:tcBorders>
            <w:vAlign w:val="center"/>
            <w:hideMark/>
          </w:tcPr>
          <w:p w:rsidR="00F17BBC" w:rsidRPr="00BA796A" w:rsidRDefault="00F17BBC" w:rsidP="008A45F4">
            <w:pPr>
              <w:jc w:val="center"/>
              <w:rPr>
                <w:rFonts w:ascii="仿宋_GB2312" w:eastAsia="仿宋_GB2312" w:hAnsi="宋体" w:cs="宋体"/>
                <w:b/>
                <w:sz w:val="24"/>
                <w:szCs w:val="24"/>
              </w:rPr>
            </w:pPr>
            <w:r w:rsidRPr="00BA796A">
              <w:rPr>
                <w:rFonts w:ascii="仿宋_GB2312" w:eastAsia="仿宋_GB2312" w:hAnsi="宋体" w:cs="宋体" w:hint="eastAsia"/>
                <w:b/>
                <w:sz w:val="24"/>
                <w:szCs w:val="24"/>
              </w:rPr>
              <w:t>基本服务</w:t>
            </w:r>
          </w:p>
        </w:tc>
        <w:tc>
          <w:tcPr>
            <w:tcW w:w="4840" w:type="dxa"/>
            <w:tcBorders>
              <w:top w:val="single" w:sz="4" w:space="0" w:color="auto"/>
              <w:left w:val="single" w:sz="4" w:space="0" w:color="auto"/>
              <w:bottom w:val="single" w:sz="4" w:space="0" w:color="auto"/>
              <w:right w:val="single" w:sz="4" w:space="0" w:color="auto"/>
            </w:tcBorders>
            <w:vAlign w:val="center"/>
            <w:hideMark/>
          </w:tcPr>
          <w:p w:rsidR="00F17BBC" w:rsidRPr="00BA796A" w:rsidRDefault="00F17BBC" w:rsidP="008A45F4">
            <w:pPr>
              <w:jc w:val="center"/>
              <w:rPr>
                <w:rFonts w:ascii="仿宋_GB2312" w:eastAsia="仿宋_GB2312" w:hAnsi="宋体" w:cs="宋体"/>
                <w:b/>
                <w:sz w:val="24"/>
                <w:szCs w:val="24"/>
              </w:rPr>
            </w:pPr>
            <w:r w:rsidRPr="00BA796A">
              <w:rPr>
                <w:rFonts w:ascii="仿宋_GB2312" w:eastAsia="仿宋_GB2312" w:hAnsi="宋体" w:cs="宋体" w:hint="eastAsia"/>
                <w:b/>
                <w:sz w:val="24"/>
                <w:szCs w:val="24"/>
              </w:rPr>
              <w:t>选择性服务</w:t>
            </w:r>
          </w:p>
        </w:tc>
      </w:tr>
      <w:tr w:rsidR="00F17BBC" w:rsidRPr="00BA796A" w:rsidTr="008A45F4">
        <w:trPr>
          <w:trHeight w:val="1233"/>
          <w:jc w:val="center"/>
        </w:trPr>
        <w:tc>
          <w:tcPr>
            <w:tcW w:w="3935" w:type="dxa"/>
            <w:tcBorders>
              <w:top w:val="single" w:sz="4" w:space="0" w:color="auto"/>
              <w:left w:val="single" w:sz="4" w:space="0" w:color="auto"/>
              <w:bottom w:val="single" w:sz="4" w:space="0" w:color="auto"/>
              <w:right w:val="single" w:sz="4" w:space="0" w:color="auto"/>
            </w:tcBorders>
            <w:vAlign w:val="center"/>
            <w:hideMark/>
          </w:tcPr>
          <w:p w:rsidR="00F17BBC" w:rsidRPr="00BA796A" w:rsidRDefault="00F17BBC" w:rsidP="008A45F4">
            <w:pPr>
              <w:rPr>
                <w:rFonts w:ascii="仿宋_GB2312" w:eastAsia="仿宋_GB2312" w:hAnsi="宋体" w:cs="宋体"/>
                <w:sz w:val="24"/>
                <w:szCs w:val="24"/>
              </w:rPr>
            </w:pPr>
            <w:r w:rsidRPr="00BA796A">
              <w:rPr>
                <w:rFonts w:ascii="仿宋_GB2312" w:eastAsia="仿宋_GB2312" w:hAnsi="宋体" w:cs="宋体" w:hint="eastAsia"/>
                <w:sz w:val="24"/>
                <w:szCs w:val="24"/>
              </w:rPr>
              <w:t>大众餐饮（早餐）、家政、理发、维修、生鲜菜店、便利店</w:t>
            </w:r>
          </w:p>
        </w:tc>
        <w:tc>
          <w:tcPr>
            <w:tcW w:w="4840" w:type="dxa"/>
            <w:tcBorders>
              <w:top w:val="single" w:sz="4" w:space="0" w:color="auto"/>
              <w:left w:val="single" w:sz="4" w:space="0" w:color="auto"/>
              <w:bottom w:val="single" w:sz="4" w:space="0" w:color="auto"/>
              <w:right w:val="single" w:sz="4" w:space="0" w:color="auto"/>
            </w:tcBorders>
            <w:vAlign w:val="center"/>
            <w:hideMark/>
          </w:tcPr>
          <w:p w:rsidR="00F17BBC" w:rsidRPr="00BA796A" w:rsidRDefault="00F17BBC" w:rsidP="008A45F4">
            <w:pPr>
              <w:autoSpaceDE w:val="0"/>
              <w:autoSpaceDN w:val="0"/>
              <w:adjustRightInd w:val="0"/>
              <w:rPr>
                <w:rFonts w:ascii="仿宋_GB2312" w:eastAsia="仿宋_GB2312" w:hAnsi="宋体" w:cs="宋体"/>
                <w:sz w:val="24"/>
                <w:szCs w:val="24"/>
              </w:rPr>
            </w:pPr>
            <w:r w:rsidRPr="00BA796A">
              <w:rPr>
                <w:rFonts w:ascii="仿宋_GB2312" w:eastAsia="仿宋_GB2312" w:hAnsi="宋体" w:cs="宋体" w:hint="eastAsia"/>
                <w:sz w:val="24"/>
                <w:szCs w:val="24"/>
              </w:rPr>
              <w:t>托幼、老人看护、洗衣、代收代缴、补衣缝纫、康体健身、美容美甲、活动室等</w:t>
            </w:r>
          </w:p>
        </w:tc>
      </w:tr>
    </w:tbl>
    <w:p w:rsidR="00F17BBC" w:rsidRPr="00BA796A" w:rsidRDefault="00F17BBC" w:rsidP="00F17BBC">
      <w:pPr>
        <w:spacing w:line="450" w:lineRule="atLeast"/>
        <w:ind w:firstLineChars="200" w:firstLine="640"/>
        <w:rPr>
          <w:rFonts w:ascii="黑体" w:eastAsia="黑体" w:hAnsi="宋体" w:cs="宋体"/>
          <w:color w:val="000000"/>
          <w:kern w:val="0"/>
          <w:sz w:val="32"/>
          <w:szCs w:val="32"/>
        </w:rPr>
      </w:pPr>
      <w:bookmarkStart w:id="2" w:name="_Toc259785274"/>
      <w:r w:rsidRPr="00BA796A">
        <w:rPr>
          <w:rFonts w:ascii="黑体" w:eastAsia="黑体" w:hAnsi="宋体" w:cs="宋体" w:hint="eastAsia"/>
          <w:color w:val="000000"/>
          <w:kern w:val="0"/>
          <w:sz w:val="32"/>
          <w:szCs w:val="32"/>
        </w:rPr>
        <w:t>三、选址布局</w:t>
      </w:r>
      <w:bookmarkEnd w:id="2"/>
      <w:r w:rsidRPr="00BA796A">
        <w:rPr>
          <w:rFonts w:ascii="黑体" w:eastAsia="黑体" w:hAnsi="宋体" w:cs="宋体" w:hint="eastAsia"/>
          <w:color w:val="000000"/>
          <w:kern w:val="0"/>
          <w:sz w:val="32"/>
          <w:szCs w:val="32"/>
        </w:rPr>
        <w:t>要求</w:t>
      </w:r>
    </w:p>
    <w:p w:rsidR="00F17BBC" w:rsidRPr="00BA796A" w:rsidRDefault="00F17BBC" w:rsidP="00F17BBC">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（一）社区便民服务中心应选</w:t>
      </w:r>
      <w:proofErr w:type="gramStart"/>
      <w:r w:rsidRPr="00BA796A">
        <w:rPr>
          <w:rFonts w:ascii="仿宋_GB2312" w:eastAsia="仿宋_GB2312" w:hAnsi="宋体" w:cs="宋体" w:hint="eastAsia"/>
          <w:color w:val="000000"/>
          <w:kern w:val="0"/>
          <w:sz w:val="32"/>
          <w:szCs w:val="32"/>
        </w:rPr>
        <w:t>择服务</w:t>
      </w:r>
      <w:proofErr w:type="gramEnd"/>
      <w:r w:rsidRPr="00BA796A">
        <w:rPr>
          <w:rFonts w:ascii="仿宋_GB2312" w:eastAsia="仿宋_GB2312" w:hAnsi="宋体" w:cs="宋体" w:hint="eastAsia"/>
          <w:color w:val="000000"/>
          <w:kern w:val="0"/>
          <w:sz w:val="32"/>
          <w:szCs w:val="32"/>
        </w:rPr>
        <w:t>对象相对集中，交通便利，供电、给排水、通讯等市政条件较好，符合消防、食品卫生等安全要求的场所。</w:t>
      </w:r>
    </w:p>
    <w:p w:rsidR="00F17BBC" w:rsidRPr="00BA796A" w:rsidRDefault="00F17BBC" w:rsidP="00F17BBC">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（二）社区便民服务中心应根据各服务功能的特点，进行合理布局。</w:t>
      </w:r>
    </w:p>
    <w:p w:rsidR="00F17BBC" w:rsidRPr="00BA796A" w:rsidRDefault="00F17BBC" w:rsidP="00F17BBC">
      <w:pPr>
        <w:spacing w:line="450" w:lineRule="atLeast"/>
        <w:ind w:firstLineChars="200" w:firstLine="640"/>
        <w:rPr>
          <w:rFonts w:ascii="黑体" w:eastAsia="黑体" w:hAnsi="宋体" w:cs="宋体"/>
          <w:color w:val="000000"/>
          <w:kern w:val="0"/>
          <w:sz w:val="32"/>
          <w:szCs w:val="32"/>
        </w:rPr>
      </w:pPr>
      <w:r w:rsidRPr="00BA796A">
        <w:rPr>
          <w:rFonts w:ascii="黑体" w:eastAsia="黑体" w:hAnsi="宋体" w:cs="宋体" w:hint="eastAsia"/>
          <w:color w:val="000000"/>
          <w:kern w:val="0"/>
          <w:sz w:val="32"/>
          <w:szCs w:val="32"/>
        </w:rPr>
        <w:t>四、经营管理要求</w:t>
      </w:r>
    </w:p>
    <w:p w:rsidR="00F17BBC" w:rsidRPr="00BA796A" w:rsidRDefault="00F17BBC" w:rsidP="00F17BBC">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一）社区便民服务中心一般采用统一经营管理的方式，即各项服务的经营权和管理权完全纳入到一个组织机构下，统一规划设计、统一招商经营、统一运营管理，从源头上把控便民服务中心的功能组合、品牌档次，保障项目完整性，最大程度满足社区居民的服务需求。</w:t>
      </w:r>
    </w:p>
    <w:p w:rsidR="00F17BBC" w:rsidRPr="00BA796A" w:rsidRDefault="00F17BBC" w:rsidP="00F17BBC">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（二）经营场所进行简洁装修，墙壁和地面便于经常清扫刷洗，店内通风、明亮。使用检定合格、未超过检定周期的计量器具。配备消防安全设施或设备，保证消防安全设施齐全、完好、有效。</w:t>
      </w:r>
    </w:p>
    <w:p w:rsidR="00F17BBC" w:rsidRPr="00BA796A" w:rsidRDefault="00F17BBC" w:rsidP="00F17BBC">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（三）各岗位的从业人员应无传染性疾病，经营食品、</w:t>
      </w:r>
      <w:r w:rsidRPr="00BA796A">
        <w:rPr>
          <w:rFonts w:ascii="仿宋_GB2312" w:eastAsia="仿宋_GB2312" w:hAnsi="宋体" w:cs="宋体" w:hint="eastAsia"/>
          <w:color w:val="000000"/>
          <w:kern w:val="0"/>
          <w:sz w:val="32"/>
          <w:szCs w:val="32"/>
        </w:rPr>
        <w:lastRenderedPageBreak/>
        <w:t>副食品的从业人员还应定期进行健康检查，并持有当地卫生主管部门颁发的健康证明。各岗位的从业人员应具有一定的文化程度和与其岗位相适应的业务知识、技术水平，经过社会专门培训机构或企业组织的岗前培训并考试合格。</w:t>
      </w:r>
    </w:p>
    <w:p w:rsidR="00F17BBC" w:rsidRPr="00BA796A" w:rsidRDefault="00F17BBC" w:rsidP="00F17BBC">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（四）制定职业道德守则，所有岗位从业人员都应遵守，社区便民服务中心定期对从业人员遵守职业道德守则情况进行认真考核。</w:t>
      </w:r>
    </w:p>
    <w:p w:rsidR="00F17BBC" w:rsidRPr="00BA796A" w:rsidRDefault="00F17BBC" w:rsidP="00F17BBC">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（五）执行国家物价管理政策，所有商品和服务应明码标价。</w:t>
      </w:r>
    </w:p>
    <w:p w:rsidR="00101E92" w:rsidRPr="00F17BBC" w:rsidRDefault="00101E92"/>
    <w:sectPr w:rsidR="00101E92" w:rsidRPr="00F17BBC" w:rsidSect="00101E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BBC"/>
    <w:rsid w:val="00101E92"/>
    <w:rsid w:val="00F17B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B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BB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wangwei</dc:creator>
  <cp:lastModifiedBy>wangwei</cp:lastModifiedBy>
  <cp:revision>1</cp:revision>
  <dcterms:created xsi:type="dcterms:W3CDTF">2018-06-05T03:12:00Z</dcterms:created>
  <dcterms:modified xsi:type="dcterms:W3CDTF">2018-06-05T03:12:00Z</dcterms:modified>
</cp:coreProperties>
</file>