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83" w:rsidRDefault="009E2383" w:rsidP="009E2383">
      <w:pPr>
        <w:pStyle w:val="a5"/>
        <w:spacing w:before="0" w:beforeAutospacing="0" w:after="0" w:afterAutospacing="0"/>
        <w:jc w:val="both"/>
        <w:rPr>
          <w:rFonts w:ascii="黑体" w:eastAsia="黑体" w:hAnsi="Times New Roman" w:cs="Times New Roman" w:hint="eastAsia"/>
          <w:sz w:val="36"/>
          <w:szCs w:val="36"/>
        </w:rPr>
      </w:pPr>
    </w:p>
    <w:p w:rsidR="009E2383" w:rsidRPr="009E2383" w:rsidRDefault="009E2383" w:rsidP="009E2383">
      <w:pPr>
        <w:pStyle w:val="a5"/>
        <w:spacing w:before="0" w:beforeAutospacing="0" w:after="0" w:afterAutospacing="0"/>
        <w:jc w:val="both"/>
        <w:rPr>
          <w:rFonts w:ascii="黑体" w:eastAsia="黑体" w:hAnsi="Times New Roman" w:cs="Times New Roman" w:hint="eastAsia"/>
          <w:sz w:val="36"/>
          <w:szCs w:val="36"/>
        </w:rPr>
      </w:pPr>
      <w:r w:rsidRPr="009E2383">
        <w:rPr>
          <w:rFonts w:ascii="黑体" w:eastAsia="黑体" w:hAnsi="Times New Roman" w:cs="Times New Roman" w:hint="eastAsia"/>
          <w:sz w:val="36"/>
          <w:szCs w:val="36"/>
        </w:rPr>
        <w:t>关于2019年度甘草及甘草制品出口配额招标的公告</w:t>
      </w:r>
      <w:bookmarkStart w:id="0" w:name="_GoBack"/>
      <w:bookmarkEnd w:id="0"/>
    </w:p>
    <w:p w:rsidR="009E2383" w:rsidRDefault="009E2383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B811C2" w:rsidRPr="0075267A" w:rsidRDefault="00AB2D83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为保护资源和环境，减少污染能耗，提高资源的使用效率，根据商务部《出口商品配额招标办法》和《工业品出口配额招标实施细则》的有关规定，现将20</w:t>
      </w:r>
      <w:r w:rsidR="0055636D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年度</w:t>
      </w:r>
      <w:r w:rsidR="00370392" w:rsidRPr="0075267A">
        <w:rPr>
          <w:rFonts w:ascii="仿宋_GB2312" w:eastAsia="仿宋_GB2312" w:hAnsi="Times New Roman" w:cs="Times New Roman" w:hint="eastAsia"/>
          <w:sz w:val="32"/>
          <w:szCs w:val="32"/>
        </w:rPr>
        <w:t>甘草</w:t>
      </w:r>
      <w:r w:rsidR="00640380">
        <w:rPr>
          <w:rFonts w:ascii="仿宋_GB2312" w:eastAsia="仿宋_GB2312" w:hAnsi="Times New Roman" w:cs="Times New Roman" w:hint="eastAsia"/>
          <w:sz w:val="32"/>
          <w:szCs w:val="32"/>
        </w:rPr>
        <w:t>及甘草制品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出口配额招标有关事项公告如下：</w:t>
      </w:r>
    </w:p>
    <w:p w:rsidR="00B811C2" w:rsidRPr="00F27264" w:rsidRDefault="00AB2D83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黑体" w:eastAsia="黑体" w:hAnsi="Times New Roman" w:cs="Times New Roman"/>
          <w:color w:val="333333"/>
          <w:sz w:val="32"/>
          <w:szCs w:val="32"/>
        </w:rPr>
      </w:pPr>
      <w:r w:rsidRPr="00F27264">
        <w:rPr>
          <w:rFonts w:ascii="黑体" w:eastAsia="黑体" w:hAnsi="Times New Roman" w:cs="Times New Roman" w:hint="eastAsia"/>
          <w:color w:val="333333"/>
          <w:sz w:val="32"/>
          <w:szCs w:val="32"/>
        </w:rPr>
        <w:t>一、招标商品</w:t>
      </w:r>
      <w:r w:rsidR="00B811C2" w:rsidRPr="00F27264">
        <w:rPr>
          <w:rFonts w:ascii="黑体" w:eastAsia="黑体" w:hAnsi="Times New Roman" w:cs="Times New Roman" w:hint="eastAsia"/>
          <w:color w:val="333333"/>
          <w:sz w:val="32"/>
          <w:szCs w:val="32"/>
        </w:rPr>
        <w:t>及其税则编码</w:t>
      </w:r>
    </w:p>
    <w:p w:rsidR="006C4F45" w:rsidRPr="0075267A" w:rsidRDefault="006C4F45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（一）鲜或干的甘草 1211903600</w:t>
      </w:r>
    </w:p>
    <w:p w:rsidR="00972637" w:rsidRPr="0075267A" w:rsidRDefault="006C4F45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（二）</w:t>
      </w:r>
      <w:r w:rsidR="00972637" w:rsidRPr="0075267A">
        <w:rPr>
          <w:rFonts w:ascii="仿宋_GB2312" w:eastAsia="仿宋_GB2312" w:hAnsi="Times New Roman" w:cs="Times New Roman" w:hint="eastAsia"/>
          <w:sz w:val="32"/>
          <w:szCs w:val="32"/>
        </w:rPr>
        <w:t>甘草液汁及浸膏 1302120000</w:t>
      </w:r>
    </w:p>
    <w:p w:rsidR="00B811C2" w:rsidRPr="0075267A" w:rsidRDefault="00972637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（三）</w:t>
      </w:r>
      <w:proofErr w:type="gramStart"/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甘草酸粉</w:t>
      </w:r>
      <w:proofErr w:type="gramEnd"/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 xml:space="preserve"> 2938909010</w:t>
      </w:r>
    </w:p>
    <w:p w:rsidR="00B811C2" w:rsidRPr="0075267A" w:rsidRDefault="00B811C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（四）</w:t>
      </w:r>
      <w:r w:rsidR="00972637" w:rsidRPr="0075267A">
        <w:rPr>
          <w:rFonts w:ascii="仿宋_GB2312" w:eastAsia="仿宋_GB2312" w:hAnsi="Times New Roman" w:cs="Times New Roman" w:hint="eastAsia"/>
          <w:sz w:val="32"/>
          <w:szCs w:val="32"/>
        </w:rPr>
        <w:t>甘草酸盐类 2938909020</w:t>
      </w:r>
    </w:p>
    <w:p w:rsidR="00972637" w:rsidRPr="0075267A" w:rsidRDefault="00B811C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（五）</w:t>
      </w:r>
      <w:r w:rsidR="00972637" w:rsidRPr="0075267A">
        <w:rPr>
          <w:rFonts w:ascii="仿宋_GB2312" w:eastAsia="仿宋_GB2312" w:hAnsi="Times New Roman" w:cs="Times New Roman" w:hint="eastAsia"/>
          <w:sz w:val="32"/>
          <w:szCs w:val="32"/>
        </w:rPr>
        <w:t>甘草</w:t>
      </w:r>
      <w:proofErr w:type="gramStart"/>
      <w:r w:rsidR="00972637" w:rsidRPr="0075267A">
        <w:rPr>
          <w:rFonts w:ascii="仿宋_GB2312" w:eastAsia="仿宋_GB2312" w:hAnsi="Times New Roman" w:cs="Times New Roman" w:hint="eastAsia"/>
          <w:sz w:val="32"/>
          <w:szCs w:val="32"/>
        </w:rPr>
        <w:t>次酸及其</w:t>
      </w:r>
      <w:proofErr w:type="gramEnd"/>
      <w:r w:rsidR="00972637" w:rsidRPr="0075267A">
        <w:rPr>
          <w:rFonts w:ascii="仿宋_GB2312" w:eastAsia="仿宋_GB2312" w:hAnsi="Times New Roman" w:cs="Times New Roman" w:hint="eastAsia"/>
          <w:sz w:val="32"/>
          <w:szCs w:val="32"/>
        </w:rPr>
        <w:t>衍生物 2938909030</w:t>
      </w:r>
    </w:p>
    <w:p w:rsidR="00B811C2" w:rsidRPr="00F27264" w:rsidRDefault="00AB2D83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黑体" w:eastAsia="黑体" w:hAnsi="Times New Roman" w:cs="Times New Roman"/>
          <w:color w:val="333333"/>
          <w:sz w:val="32"/>
          <w:szCs w:val="32"/>
        </w:rPr>
      </w:pPr>
      <w:r w:rsidRPr="00F27264">
        <w:rPr>
          <w:rFonts w:ascii="黑体" w:eastAsia="黑体" w:hAnsi="Times New Roman" w:cs="Times New Roman" w:hint="eastAsia"/>
          <w:color w:val="333333"/>
          <w:sz w:val="32"/>
          <w:szCs w:val="32"/>
        </w:rPr>
        <w:t>二、招标时间</w:t>
      </w:r>
    </w:p>
    <w:p w:rsidR="00B811C2" w:rsidRPr="003F4FB5" w:rsidRDefault="004A64DB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F4FB5">
        <w:rPr>
          <w:rFonts w:ascii="Times New Roman" w:eastAsia="仿宋_GB2312" w:hAnsi="Times New Roman" w:cs="Times New Roman"/>
          <w:sz w:val="32"/>
          <w:szCs w:val="32"/>
        </w:rPr>
        <w:t>招标分两次进行，具体时间安排如下：</w:t>
      </w:r>
    </w:p>
    <w:p w:rsidR="00B811C2" w:rsidRPr="00AD5CE2" w:rsidRDefault="004A64DB" w:rsidP="0075267A">
      <w:pPr>
        <w:pStyle w:val="a5"/>
        <w:spacing w:before="0" w:beforeAutospacing="0" w:after="0" w:afterAutospacing="0"/>
        <w:ind w:firstLineChars="200" w:firstLine="643"/>
        <w:jc w:val="both"/>
        <w:rPr>
          <w:rFonts w:ascii="楷体_GB2312" w:eastAsia="楷体_GB2312" w:hAnsi="Times New Roman" w:cs="Times New Roman"/>
          <w:b/>
          <w:color w:val="333333"/>
          <w:sz w:val="32"/>
          <w:szCs w:val="32"/>
        </w:rPr>
      </w:pPr>
      <w:r w:rsidRPr="00AD5CE2">
        <w:rPr>
          <w:rFonts w:ascii="楷体_GB2312" w:eastAsia="楷体_GB2312" w:hAnsi="Times New Roman" w:cs="Times New Roman" w:hint="eastAsia"/>
          <w:b/>
          <w:color w:val="333333"/>
          <w:sz w:val="32"/>
          <w:szCs w:val="32"/>
        </w:rPr>
        <w:t>（一）第一次招标</w:t>
      </w:r>
      <w:r w:rsidR="00AD5CE2">
        <w:rPr>
          <w:rFonts w:ascii="楷体_GB2312" w:eastAsia="楷体_GB2312" w:hAnsi="Times New Roman" w:cs="Times New Roman" w:hint="eastAsia"/>
          <w:b/>
          <w:color w:val="333333"/>
          <w:sz w:val="32"/>
          <w:szCs w:val="32"/>
        </w:rPr>
        <w:t>。</w:t>
      </w:r>
    </w:p>
    <w:p w:rsidR="004A64DB" w:rsidRPr="0075267A" w:rsidRDefault="004A64DB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投标时间：201</w:t>
      </w:r>
      <w:r w:rsidR="0055636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年12月</w:t>
      </w:r>
      <w:r w:rsidR="007F7728">
        <w:rPr>
          <w:rFonts w:ascii="仿宋_GB2312" w:eastAsia="仿宋_GB2312" w:hAnsi="Times New Roman" w:cs="Times New Roman" w:hint="eastAsia"/>
          <w:sz w:val="32"/>
          <w:szCs w:val="32"/>
        </w:rPr>
        <w:t>26-27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4A64DB" w:rsidRPr="0075267A" w:rsidRDefault="004A64DB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截标时间：201</w:t>
      </w:r>
      <w:r w:rsidR="0055636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年12月</w:t>
      </w:r>
      <w:r w:rsidR="007F7728">
        <w:rPr>
          <w:rFonts w:ascii="仿宋_GB2312" w:eastAsia="仿宋_GB2312" w:hAnsi="Times New Roman" w:cs="Times New Roman" w:hint="eastAsia"/>
          <w:sz w:val="32"/>
          <w:szCs w:val="32"/>
        </w:rPr>
        <w:t>27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日16</w:t>
      </w:r>
      <w:r w:rsidR="008E651D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</w:t>
      </w:r>
    </w:p>
    <w:p w:rsidR="004A64DB" w:rsidRPr="0075267A" w:rsidRDefault="004A64DB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开标时间：201</w:t>
      </w:r>
      <w:r w:rsidR="0055636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年12月</w:t>
      </w:r>
      <w:r w:rsidR="007F7728"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日10</w:t>
      </w:r>
      <w:r w:rsidR="008E651D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</w:t>
      </w:r>
    </w:p>
    <w:p w:rsidR="004A64DB" w:rsidRPr="00AD5CE2" w:rsidRDefault="004A64DB" w:rsidP="0075267A">
      <w:pPr>
        <w:pStyle w:val="a5"/>
        <w:spacing w:before="0" w:beforeAutospacing="0" w:after="0" w:afterAutospacing="0"/>
        <w:ind w:firstLineChars="200" w:firstLine="643"/>
        <w:jc w:val="both"/>
        <w:rPr>
          <w:rFonts w:ascii="楷体_GB2312" w:eastAsia="楷体_GB2312" w:hAnsi="Times New Roman" w:cs="Times New Roman"/>
          <w:b/>
          <w:color w:val="333333"/>
          <w:sz w:val="32"/>
          <w:szCs w:val="32"/>
        </w:rPr>
      </w:pPr>
      <w:r w:rsidRPr="00AD5CE2">
        <w:rPr>
          <w:rFonts w:ascii="楷体_GB2312" w:eastAsia="楷体_GB2312" w:hAnsi="Times New Roman" w:cs="Times New Roman"/>
          <w:b/>
          <w:color w:val="333333"/>
          <w:sz w:val="32"/>
          <w:szCs w:val="32"/>
        </w:rPr>
        <w:t>（二）第二次招标</w:t>
      </w:r>
      <w:r w:rsidR="00AD5CE2">
        <w:rPr>
          <w:rFonts w:ascii="楷体_GB2312" w:eastAsia="楷体_GB2312" w:hAnsi="Times New Roman" w:cs="Times New Roman" w:hint="eastAsia"/>
          <w:b/>
          <w:color w:val="333333"/>
          <w:sz w:val="32"/>
          <w:szCs w:val="32"/>
        </w:rPr>
        <w:t>。</w:t>
      </w:r>
    </w:p>
    <w:p w:rsidR="004A64DB" w:rsidRPr="0075267A" w:rsidRDefault="004A64DB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投标时间：</w:t>
      </w:r>
      <w:r w:rsidR="0055636D">
        <w:rPr>
          <w:rFonts w:ascii="仿宋_GB2312" w:eastAsia="仿宋_GB2312" w:hAnsi="Times New Roman" w:cs="Times New Roman" w:hint="eastAsia"/>
          <w:sz w:val="32"/>
          <w:szCs w:val="32"/>
        </w:rPr>
        <w:t>2019</w:t>
      </w:r>
      <w:r w:rsidR="006E7854" w:rsidRPr="0075267A">
        <w:rPr>
          <w:rFonts w:ascii="仿宋_GB2312" w:eastAsia="仿宋_GB2312" w:hAnsi="Times New Roman" w:cs="Times New Roman" w:hint="eastAsia"/>
          <w:sz w:val="32"/>
          <w:szCs w:val="32"/>
        </w:rPr>
        <w:t>年6月11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-</w:t>
      </w:r>
      <w:r w:rsidR="006E7854" w:rsidRPr="0075267A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4A64DB" w:rsidRPr="0075267A" w:rsidRDefault="004A64DB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截标时间：2</w:t>
      </w:r>
      <w:r w:rsidR="0055636D">
        <w:rPr>
          <w:rFonts w:ascii="仿宋_GB2312" w:eastAsia="仿宋_GB2312" w:hAnsi="Times New Roman" w:cs="Times New Roman" w:hint="eastAsia"/>
          <w:sz w:val="32"/>
          <w:szCs w:val="32"/>
        </w:rPr>
        <w:t>019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年6月</w:t>
      </w:r>
      <w:r w:rsidR="006E7854" w:rsidRPr="0075267A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日16</w:t>
      </w:r>
      <w:r w:rsidR="008E651D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</w:t>
      </w:r>
    </w:p>
    <w:p w:rsidR="00E03E44" w:rsidRPr="00FE3844" w:rsidRDefault="004A64DB" w:rsidP="00E03E44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开标时间：2</w:t>
      </w:r>
      <w:r w:rsidR="0055636D">
        <w:rPr>
          <w:rFonts w:ascii="仿宋_GB2312" w:eastAsia="仿宋_GB2312" w:hAnsi="Times New Roman" w:cs="Times New Roman" w:hint="eastAsia"/>
          <w:sz w:val="32"/>
          <w:szCs w:val="32"/>
        </w:rPr>
        <w:t>019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年6月</w:t>
      </w:r>
      <w:r w:rsidR="006E7854" w:rsidRPr="0075267A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日10</w:t>
      </w:r>
      <w:r w:rsidR="008E651D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</w:t>
      </w:r>
    </w:p>
    <w:p w:rsidR="00E03E44" w:rsidRDefault="00754E4E" w:rsidP="00E03E44">
      <w:pPr>
        <w:pStyle w:val="a5"/>
        <w:spacing w:before="0" w:beforeAutospacing="0" w:after="0" w:afterAutospacing="0"/>
        <w:ind w:firstLineChars="200" w:firstLine="640"/>
        <w:jc w:val="both"/>
        <w:rPr>
          <w:rFonts w:ascii="黑体" w:eastAsia="黑体" w:hAnsi="Times New Roman" w:cs="Times New Roman"/>
          <w:color w:val="333333"/>
          <w:sz w:val="32"/>
          <w:szCs w:val="32"/>
        </w:rPr>
      </w:pPr>
      <w:r w:rsidRPr="00F27264">
        <w:rPr>
          <w:rFonts w:ascii="黑体" w:eastAsia="黑体" w:hAnsi="Times New Roman" w:cs="Times New Roman" w:hint="eastAsia"/>
          <w:color w:val="333333"/>
          <w:sz w:val="32"/>
          <w:szCs w:val="32"/>
        </w:rPr>
        <w:t>三、招标数量</w:t>
      </w:r>
    </w:p>
    <w:p w:rsidR="00F85745" w:rsidRPr="00E03E44" w:rsidRDefault="0055636D" w:rsidP="00E03E44">
      <w:pPr>
        <w:pStyle w:val="a5"/>
        <w:spacing w:before="0" w:beforeAutospacing="0" w:after="0" w:afterAutospacing="0"/>
        <w:ind w:firstLineChars="200" w:firstLine="640"/>
        <w:jc w:val="both"/>
        <w:rPr>
          <w:rFonts w:ascii="黑体" w:eastAsia="黑体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2019</w:t>
      </w:r>
      <w:r w:rsidR="00E50A0B" w:rsidRPr="0075267A">
        <w:rPr>
          <w:rFonts w:ascii="仿宋_GB2312" w:eastAsia="仿宋_GB2312" w:hAnsi="Times New Roman" w:cs="Times New Roman" w:hint="eastAsia"/>
          <w:sz w:val="32"/>
          <w:szCs w:val="32"/>
        </w:rPr>
        <w:t>年甘草</w:t>
      </w:r>
      <w:r w:rsidR="00640380">
        <w:rPr>
          <w:rFonts w:ascii="仿宋_GB2312" w:eastAsia="仿宋_GB2312" w:hAnsi="Times New Roman" w:cs="Times New Roman" w:hint="eastAsia"/>
          <w:sz w:val="32"/>
          <w:szCs w:val="32"/>
        </w:rPr>
        <w:t>及甘草制品</w:t>
      </w:r>
      <w:r w:rsidR="00E50A0B" w:rsidRPr="0075267A">
        <w:rPr>
          <w:rFonts w:ascii="仿宋_GB2312" w:eastAsia="仿宋_GB2312" w:hAnsi="Times New Roman" w:cs="Times New Roman" w:hint="eastAsia"/>
          <w:sz w:val="32"/>
          <w:szCs w:val="32"/>
        </w:rPr>
        <w:t>出口配额招标总量共计</w:t>
      </w:r>
      <w:r w:rsidR="00F85745" w:rsidRPr="0075267A">
        <w:rPr>
          <w:rFonts w:ascii="仿宋_GB2312" w:eastAsia="仿宋_GB2312" w:hAnsi="Times New Roman" w:cs="Times New Roman" w:hint="eastAsia"/>
          <w:sz w:val="32"/>
          <w:szCs w:val="32"/>
        </w:rPr>
        <w:t>4400吨。</w:t>
      </w:r>
      <w:r w:rsidR="00E87680" w:rsidRPr="0075267A">
        <w:rPr>
          <w:rFonts w:ascii="仿宋_GB2312" w:eastAsia="仿宋_GB2312" w:hAnsi="Times New Roman" w:cs="Times New Roman" w:hint="eastAsia"/>
          <w:sz w:val="32"/>
          <w:szCs w:val="32"/>
        </w:rPr>
        <w:t>根据</w:t>
      </w:r>
      <w:r w:rsidR="00E87680">
        <w:rPr>
          <w:rFonts w:ascii="仿宋_GB2312" w:eastAsia="仿宋_GB2312" w:hAnsi="Times New Roman" w:cs="Times New Roman" w:hint="eastAsia"/>
          <w:sz w:val="32"/>
          <w:szCs w:val="32"/>
        </w:rPr>
        <w:t>2018</w:t>
      </w:r>
      <w:r w:rsidR="00E87680" w:rsidRPr="0075267A">
        <w:rPr>
          <w:rFonts w:ascii="仿宋_GB2312" w:eastAsia="仿宋_GB2312" w:hAnsi="Times New Roman" w:cs="Times New Roman" w:hint="eastAsia"/>
          <w:sz w:val="32"/>
          <w:szCs w:val="32"/>
        </w:rPr>
        <w:t>年出口配额实际使用率，</w:t>
      </w:r>
      <w:r w:rsidR="00E87680">
        <w:rPr>
          <w:rFonts w:ascii="仿宋_GB2312" w:eastAsia="仿宋_GB2312" w:hAnsi="Times New Roman" w:cs="Times New Roman" w:hint="eastAsia"/>
          <w:sz w:val="32"/>
          <w:szCs w:val="32"/>
        </w:rPr>
        <w:t>2019</w:t>
      </w:r>
      <w:r w:rsidR="00E87680" w:rsidRPr="0075267A">
        <w:rPr>
          <w:rFonts w:ascii="仿宋_GB2312" w:eastAsia="仿宋_GB2312" w:hAnsi="Times New Roman" w:cs="Times New Roman" w:hint="eastAsia"/>
          <w:sz w:val="32"/>
          <w:szCs w:val="32"/>
        </w:rPr>
        <w:t>年投标数量先行安排</w:t>
      </w:r>
      <w:r w:rsidR="00E87680">
        <w:rPr>
          <w:rFonts w:ascii="仿宋_GB2312" w:eastAsia="仿宋_GB2312" w:hAnsi="Times New Roman" w:cs="Times New Roman" w:hint="eastAsia"/>
          <w:sz w:val="32"/>
          <w:szCs w:val="32"/>
        </w:rPr>
        <w:t>40</w:t>
      </w:r>
      <w:r w:rsidR="00E87680" w:rsidRPr="0075267A">
        <w:rPr>
          <w:rFonts w:ascii="仿宋_GB2312" w:eastAsia="仿宋_GB2312" w:hAnsi="Times New Roman" w:cs="Times New Roman" w:hint="eastAsia"/>
          <w:sz w:val="32"/>
          <w:szCs w:val="32"/>
        </w:rPr>
        <w:t>00吨，其余</w:t>
      </w:r>
      <w:r w:rsidR="00E87680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E87680" w:rsidRPr="0075267A">
        <w:rPr>
          <w:rFonts w:ascii="仿宋_GB2312" w:eastAsia="仿宋_GB2312" w:hAnsi="Times New Roman" w:cs="Times New Roman" w:hint="eastAsia"/>
          <w:sz w:val="32"/>
          <w:szCs w:val="32"/>
        </w:rPr>
        <w:t>00吨将视配额实际使用情况另行安排。</w:t>
      </w:r>
    </w:p>
    <w:p w:rsidR="00754E4E" w:rsidRPr="0075267A" w:rsidRDefault="00D708B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（一）鲜或干的甘草：全年</w:t>
      </w:r>
      <w:r w:rsidR="00E87680">
        <w:rPr>
          <w:rFonts w:ascii="仿宋_GB2312" w:eastAsia="仿宋_GB2312" w:hAnsi="Times New Roman" w:cs="Times New Roman" w:hint="eastAsia"/>
          <w:sz w:val="32"/>
          <w:szCs w:val="32"/>
        </w:rPr>
        <w:t>2700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吨。第一次招标</w:t>
      </w:r>
      <w:r w:rsidR="00E87680">
        <w:rPr>
          <w:rFonts w:ascii="仿宋_GB2312" w:eastAsia="仿宋_GB2312" w:hAnsi="Times New Roman" w:cs="Times New Roman" w:hint="eastAsia"/>
          <w:sz w:val="32"/>
          <w:szCs w:val="32"/>
        </w:rPr>
        <w:t>18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00吨；第二次招标</w:t>
      </w:r>
      <w:r w:rsidR="00E87680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00吨。</w:t>
      </w:r>
    </w:p>
    <w:p w:rsidR="00D708B2" w:rsidRPr="0075267A" w:rsidRDefault="00D708B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（二）甘草液汁及浸膏：全年</w:t>
      </w:r>
      <w:r w:rsidR="00E87680">
        <w:rPr>
          <w:rFonts w:ascii="仿宋_GB2312" w:eastAsia="仿宋_GB2312" w:hAnsi="Times New Roman" w:cs="Times New Roman" w:hint="eastAsia"/>
          <w:sz w:val="32"/>
          <w:szCs w:val="32"/>
        </w:rPr>
        <w:t>900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吨。第一次招标</w:t>
      </w:r>
      <w:r w:rsidR="00E87680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00吨；第二次招标</w:t>
      </w:r>
      <w:r w:rsidR="00F85745" w:rsidRPr="0075267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00吨。</w:t>
      </w:r>
      <w:r w:rsidR="00A12D3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D708B2" w:rsidRPr="0075267A" w:rsidRDefault="00D708B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（三）甘草酸粉、甘草酸盐类、甘草</w:t>
      </w:r>
      <w:proofErr w:type="gramStart"/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次酸及其</w:t>
      </w:r>
      <w:proofErr w:type="gramEnd"/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衍生物：全年</w:t>
      </w:r>
      <w:r w:rsidR="00BF33F3" w:rsidRPr="0075267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00吨。第一次招标</w:t>
      </w:r>
      <w:r w:rsidR="00BF33F3" w:rsidRPr="0075267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00吨；第二次招标</w:t>
      </w:r>
      <w:r w:rsidR="00BF33F3" w:rsidRPr="0075267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00吨。</w:t>
      </w:r>
    </w:p>
    <w:p w:rsidR="00AB2D83" w:rsidRPr="00F27264" w:rsidRDefault="00B811C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黑体" w:eastAsia="黑体" w:hAnsi="Times New Roman" w:cs="Times New Roman"/>
          <w:color w:val="333333"/>
          <w:sz w:val="32"/>
          <w:szCs w:val="32"/>
        </w:rPr>
      </w:pPr>
      <w:r w:rsidRPr="00F27264">
        <w:rPr>
          <w:rFonts w:ascii="黑体" w:eastAsia="黑体" w:hAnsi="Times New Roman" w:cs="Times New Roman" w:hint="eastAsia"/>
          <w:color w:val="333333"/>
          <w:sz w:val="32"/>
          <w:szCs w:val="32"/>
        </w:rPr>
        <w:t>四</w:t>
      </w:r>
      <w:r w:rsidR="00AB2D83" w:rsidRPr="00F27264">
        <w:rPr>
          <w:rFonts w:ascii="黑体" w:eastAsia="黑体" w:hAnsi="Times New Roman" w:cs="Times New Roman" w:hint="eastAsia"/>
          <w:color w:val="333333"/>
          <w:sz w:val="32"/>
          <w:szCs w:val="32"/>
        </w:rPr>
        <w:t>、投标企业资质标准</w:t>
      </w:r>
    </w:p>
    <w:p w:rsidR="00AB2D83" w:rsidRPr="0075267A" w:rsidRDefault="0013659C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（一）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经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工商行政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管理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部门登记注册、已办理对外贸易经营者备案登记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、具有独立法人资格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。</w:t>
      </w:r>
    </w:p>
    <w:p w:rsidR="00AB2D83" w:rsidRPr="0075267A" w:rsidRDefault="0084137D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（二）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生产企业已取得环境保护行政管理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部门核发的排污许可证。</w:t>
      </w:r>
    </w:p>
    <w:p w:rsidR="0055636D" w:rsidRDefault="0055636D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</w:t>
      </w:r>
      <w:r w:rsidR="0084137D" w:rsidRPr="0075267A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流通企业所采购货物必须是来自符合上述第(二)</w:t>
      </w:r>
      <w:r w:rsidR="00657C62">
        <w:rPr>
          <w:rFonts w:ascii="仿宋_GB2312" w:eastAsia="仿宋_GB2312" w:hAnsi="Times New Roman" w:cs="Times New Roman" w:hint="eastAsia"/>
          <w:sz w:val="32"/>
          <w:szCs w:val="32"/>
        </w:rPr>
        <w:t>款要求的生产企业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</w:p>
    <w:p w:rsidR="00AB2D83" w:rsidRPr="0075267A" w:rsidRDefault="0055636D" w:rsidP="0055636D">
      <w:pPr>
        <w:pStyle w:val="a5"/>
        <w:spacing w:before="0" w:beforeAutospacing="0" w:after="0" w:afterAutospacing="0"/>
        <w:ind w:firstLineChars="100" w:firstLine="32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（四</w:t>
      </w:r>
      <w:r w:rsidR="0084137D" w:rsidRPr="0075267A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6D5145">
        <w:rPr>
          <w:rFonts w:ascii="仿宋_GB2312" w:eastAsia="仿宋_GB2312" w:hAnsi="Times New Roman" w:cs="Times New Roman" w:hint="eastAsia"/>
          <w:sz w:val="32"/>
          <w:szCs w:val="32"/>
        </w:rPr>
        <w:t>出具承诺书，承诺</w:t>
      </w:r>
      <w:r w:rsidR="006D5145" w:rsidRPr="00B166F7">
        <w:rPr>
          <w:rFonts w:ascii="仿宋_GB2312" w:eastAsia="仿宋_GB2312" w:hAnsi="微软雅黑" w:cs="Helvetica" w:hint="eastAsia"/>
          <w:color w:val="000000"/>
          <w:sz w:val="32"/>
          <w:szCs w:val="32"/>
        </w:rPr>
        <w:t>已</w:t>
      </w:r>
      <w:r w:rsidR="006D5145">
        <w:rPr>
          <w:rFonts w:ascii="仿宋_GB2312" w:eastAsia="仿宋_GB2312" w:hint="eastAsia"/>
          <w:sz w:val="32"/>
          <w:szCs w:val="32"/>
        </w:rPr>
        <w:t>依法参加养老、失业、医疗、工伤、生育等各项社会保险，2016-2018年</w:t>
      </w:r>
      <w:r w:rsidR="006D5145" w:rsidRPr="0075267A">
        <w:rPr>
          <w:rFonts w:ascii="仿宋_GB2312" w:eastAsia="仿宋_GB2312" w:hint="eastAsia"/>
          <w:sz w:val="32"/>
          <w:szCs w:val="32"/>
        </w:rPr>
        <w:t>（截至投标资格审核结束）无违反国家有关法律法规的行为</w:t>
      </w:r>
      <w:r w:rsidR="006D5145">
        <w:rPr>
          <w:rFonts w:ascii="仿宋_GB2312" w:eastAsia="仿宋_GB2312" w:hint="eastAsia"/>
          <w:sz w:val="32"/>
          <w:szCs w:val="32"/>
        </w:rPr>
        <w:t>、</w:t>
      </w:r>
      <w:r w:rsidR="006D5145" w:rsidRPr="0075267A">
        <w:rPr>
          <w:rFonts w:ascii="仿宋_GB2312" w:eastAsia="仿宋_GB2312" w:hint="eastAsia"/>
          <w:sz w:val="32"/>
          <w:szCs w:val="32"/>
        </w:rPr>
        <w:t>未出现安全生产事故</w:t>
      </w:r>
      <w:r w:rsidR="006D5145">
        <w:rPr>
          <w:rFonts w:ascii="仿宋_GB2312" w:eastAsia="仿宋_GB2312" w:hAnsi="微软雅黑" w:cs="Helvetica" w:hint="eastAsia"/>
          <w:color w:val="000000"/>
          <w:sz w:val="32"/>
          <w:szCs w:val="32"/>
        </w:rPr>
        <w:t>。</w:t>
      </w:r>
    </w:p>
    <w:p w:rsidR="00AB2D83" w:rsidRPr="0075267A" w:rsidRDefault="00657C6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（五</w:t>
      </w:r>
      <w:r w:rsidR="0084137D" w:rsidRPr="0075267A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AB2D83" w:rsidRPr="0075267A">
        <w:rPr>
          <w:rFonts w:ascii="仿宋_GB2312" w:eastAsia="仿宋_GB2312" w:hAnsi="Times New Roman" w:cs="Times New Roman" w:hint="eastAsia"/>
          <w:sz w:val="32"/>
          <w:szCs w:val="32"/>
        </w:rPr>
        <w:t>具体品种条件如下：</w:t>
      </w:r>
    </w:p>
    <w:p w:rsidR="00AB2D83" w:rsidRPr="0075267A" w:rsidRDefault="00B811C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AD5CE2" w:rsidRPr="0075267A"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="00017920">
        <w:rPr>
          <w:rFonts w:ascii="仿宋_GB2312" w:eastAsia="仿宋_GB2312" w:hAnsi="Times New Roman" w:cs="Times New Roman" w:hint="eastAsia"/>
          <w:sz w:val="32"/>
          <w:szCs w:val="32"/>
        </w:rPr>
        <w:t>鲜或干的甘草：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凡在2016-2018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年每年均有该产品出口实绩的企业，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或每年均有中药材及饮片出口</w:t>
      </w:r>
      <w:proofErr w:type="gramStart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实绩且</w:t>
      </w:r>
      <w:proofErr w:type="gramEnd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年平均出口额达到50万美元的企业;或每年均有该产品出口供货</w:t>
      </w:r>
      <w:proofErr w:type="gramStart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实绩且</w:t>
      </w:r>
      <w:proofErr w:type="gramEnd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年平均出口供货数量达到50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吨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的企业；或甘草人工种植面积在5000亩以上的企业。</w:t>
      </w:r>
    </w:p>
    <w:p w:rsidR="00AB2D83" w:rsidRPr="0075267A" w:rsidRDefault="00B811C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AD5CE2" w:rsidRPr="0075267A"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="00AB2D83" w:rsidRPr="0075267A">
        <w:rPr>
          <w:rFonts w:ascii="仿宋_GB2312" w:eastAsia="仿宋_GB2312" w:hAnsi="Times New Roman" w:cs="Times New Roman" w:hint="eastAsia"/>
          <w:sz w:val="32"/>
          <w:szCs w:val="32"/>
        </w:rPr>
        <w:t>甘草液汁及浸膏：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凡在2016-2018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年每年均有该产品出口实绩的企业，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或每年均有植物提取物出口</w:t>
      </w:r>
      <w:proofErr w:type="gramStart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实绩且</w:t>
      </w:r>
      <w:proofErr w:type="gramEnd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年平均出口额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达到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120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万美元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的企业；或每年均有该产品出口供货</w:t>
      </w:r>
      <w:proofErr w:type="gramStart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实绩且</w:t>
      </w:r>
      <w:proofErr w:type="gramEnd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年平均出口供货数量达到80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吨的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企业。</w:t>
      </w:r>
    </w:p>
    <w:p w:rsidR="00657C62" w:rsidRDefault="00B811C2" w:rsidP="0055636D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 w:cs="Helvetica"/>
          <w:color w:val="000000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AD5CE2" w:rsidRPr="0075267A"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="00AB2D83" w:rsidRPr="0075267A">
        <w:rPr>
          <w:rFonts w:ascii="仿宋_GB2312" w:eastAsia="仿宋_GB2312" w:hAnsi="Times New Roman" w:cs="Times New Roman" w:hint="eastAsia"/>
          <w:sz w:val="32"/>
          <w:szCs w:val="32"/>
        </w:rPr>
        <w:t>甘草酸粉、甘草酸盐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类、甘草</w:t>
      </w:r>
      <w:proofErr w:type="gramStart"/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次酸</w:t>
      </w:r>
      <w:r w:rsidR="00AB2D83" w:rsidRPr="0075267A">
        <w:rPr>
          <w:rFonts w:ascii="仿宋_GB2312" w:eastAsia="仿宋_GB2312" w:hAnsi="Times New Roman" w:cs="Times New Roman" w:hint="eastAsia"/>
          <w:sz w:val="32"/>
          <w:szCs w:val="32"/>
        </w:rPr>
        <w:t>及其</w:t>
      </w:r>
      <w:proofErr w:type="gramEnd"/>
      <w:r w:rsidR="00AB2D83" w:rsidRPr="0075267A">
        <w:rPr>
          <w:rFonts w:ascii="仿宋_GB2312" w:eastAsia="仿宋_GB2312" w:hAnsi="Times New Roman" w:cs="Times New Roman" w:hint="eastAsia"/>
          <w:sz w:val="32"/>
          <w:szCs w:val="32"/>
        </w:rPr>
        <w:t>衍生物：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凡在2016-2018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年每年均有该产品出口实绩的企业，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或每年均有植物提取物出口</w:t>
      </w:r>
      <w:proofErr w:type="gramStart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实绩且</w:t>
      </w:r>
      <w:proofErr w:type="gramEnd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年平均出口额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达到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120万美元的企业；或每年均有该产品出口供货</w:t>
      </w:r>
      <w:proofErr w:type="gramStart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实绩且</w:t>
      </w:r>
      <w:proofErr w:type="gramEnd"/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年平均出口供货数量    达到20吨的企业。</w:t>
      </w:r>
    </w:p>
    <w:p w:rsidR="00FE3844" w:rsidRPr="0055636D" w:rsidRDefault="00AB2D83" w:rsidP="0055636D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出口数量以海关统计为准，出口供货以资格审查结果为准。</w:t>
      </w:r>
      <w:r w:rsidR="00953705" w:rsidRPr="0075267A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313512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953705" w:rsidRPr="0075267A">
        <w:rPr>
          <w:rFonts w:ascii="仿宋_GB2312" w:eastAsia="仿宋_GB2312" w:hAnsi="Times New Roman" w:cs="Times New Roman" w:hint="eastAsia"/>
          <w:sz w:val="32"/>
          <w:szCs w:val="32"/>
        </w:rPr>
        <w:t>年的出口额、出口供货数量均按1-9月数据计。</w:t>
      </w:r>
    </w:p>
    <w:p w:rsidR="00AB2D83" w:rsidRPr="0084137D" w:rsidRDefault="00657C6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黑体" w:eastAsia="黑体" w:hAnsi="Times New Roman" w:cs="Times New Roman"/>
          <w:color w:val="333333"/>
          <w:sz w:val="32"/>
          <w:szCs w:val="32"/>
        </w:rPr>
      </w:pPr>
      <w:r>
        <w:rPr>
          <w:rFonts w:ascii="黑体" w:eastAsia="黑体" w:hAnsi="Times New Roman" w:cs="Times New Roman" w:hint="eastAsia"/>
          <w:color w:val="333333"/>
          <w:sz w:val="32"/>
          <w:szCs w:val="32"/>
        </w:rPr>
        <w:t>五</w:t>
      </w:r>
      <w:r w:rsidR="00AB2D83" w:rsidRPr="0084137D">
        <w:rPr>
          <w:rFonts w:ascii="黑体" w:eastAsia="黑体" w:hAnsi="Times New Roman" w:cs="Times New Roman" w:hint="eastAsia"/>
          <w:color w:val="333333"/>
          <w:sz w:val="32"/>
          <w:szCs w:val="32"/>
        </w:rPr>
        <w:t>、投标资格审核程序</w:t>
      </w:r>
    </w:p>
    <w:p w:rsidR="00AB2D83" w:rsidRPr="00AD5CE2" w:rsidRDefault="0084137D" w:rsidP="0075267A">
      <w:pPr>
        <w:pStyle w:val="a5"/>
        <w:spacing w:before="0" w:beforeAutospacing="0" w:after="0" w:afterAutospacing="0"/>
        <w:ind w:firstLineChars="200" w:firstLine="643"/>
        <w:jc w:val="both"/>
        <w:rPr>
          <w:rFonts w:ascii="楷体_GB2312" w:eastAsia="楷体_GB2312" w:hAnsi="Times New Roman" w:cs="Times New Roman"/>
          <w:b/>
          <w:color w:val="333333"/>
          <w:sz w:val="32"/>
          <w:szCs w:val="32"/>
        </w:rPr>
      </w:pPr>
      <w:r w:rsidRPr="00AD5CE2">
        <w:rPr>
          <w:rFonts w:ascii="楷体_GB2312" w:eastAsia="楷体_GB2312" w:hAnsi="Times New Roman" w:cs="Times New Roman" w:hint="eastAsia"/>
          <w:b/>
          <w:color w:val="333333"/>
          <w:sz w:val="32"/>
          <w:szCs w:val="32"/>
        </w:rPr>
        <w:t>（一）</w:t>
      </w:r>
      <w:r w:rsidR="006922BA" w:rsidRPr="00AD5CE2">
        <w:rPr>
          <w:rFonts w:ascii="楷体_GB2312" w:eastAsia="楷体_GB2312" w:hAnsi="Times New Roman" w:cs="Times New Roman" w:hint="eastAsia"/>
          <w:b/>
          <w:color w:val="333333"/>
          <w:sz w:val="32"/>
          <w:szCs w:val="32"/>
        </w:rPr>
        <w:t>材料申报</w:t>
      </w:r>
      <w:r w:rsidR="00AD5CE2">
        <w:rPr>
          <w:rFonts w:ascii="楷体_GB2312" w:eastAsia="楷体_GB2312" w:hAnsi="Times New Roman" w:cs="Times New Roman" w:hint="eastAsia"/>
          <w:b/>
          <w:color w:val="333333"/>
          <w:sz w:val="32"/>
          <w:szCs w:val="32"/>
        </w:rPr>
        <w:t>。</w:t>
      </w:r>
    </w:p>
    <w:p w:rsidR="00AB2D83" w:rsidRPr="0075267A" w:rsidRDefault="004E6D01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</w:t>
      </w:r>
      <w:r w:rsidR="00AD5CE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．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各省、自治区、直辖市、计划单列市及新疆生产建设兵团商务主管部门(以下</w:t>
      </w:r>
      <w:proofErr w:type="gramStart"/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称各地</w:t>
      </w:r>
      <w:proofErr w:type="gramEnd"/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商务主管部门)</w:t>
      </w:r>
      <w:r w:rsidR="006922BA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负责接收</w:t>
      </w:r>
      <w:r w:rsidR="006922BA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汇总和向招标委员会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上报本地区企业递交的投标资格申报材料。中央管理企业的投标资格申报材料</w:t>
      </w:r>
      <w:r w:rsidR="00754E4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直接报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招标</w:t>
      </w:r>
      <w:r w:rsidR="00754E4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委员会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。</w:t>
      </w:r>
    </w:p>
    <w:p w:rsidR="00AB2D83" w:rsidRPr="0075267A" w:rsidRDefault="004E6D01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</w:t>
      </w:r>
      <w:r w:rsidR="00AD5CE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．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凡满足</w:t>
      </w:r>
      <w:r w:rsidR="0037039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甘草</w:t>
      </w:r>
      <w:r w:rsidR="0064038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及甘草制品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出口配额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投标企业资质标准的企业均可申请参加资格审核。</w:t>
      </w:r>
    </w:p>
    <w:p w:rsidR="00AB2D83" w:rsidRPr="0075267A" w:rsidRDefault="004E6D01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</w:t>
      </w:r>
      <w:r w:rsidR="00AD5CE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．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申请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企业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应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填写《申请投标企业资格申报表》(附件</w:t>
      </w:r>
      <w:r w:rsidR="00011277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)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，并提供以下材料： </w:t>
      </w:r>
    </w:p>
    <w:p w:rsidR="00AB2D83" w:rsidRPr="0075267A" w:rsidRDefault="004E6D01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（1）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申请企业法人营业执照副本、《对外贸易经营者备案登记表》或《中华人民共和国进出口企业资格证书》或《外商投资企业批准证书》</w:t>
      </w:r>
      <w:r w:rsidR="002F0BBF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或《</w:t>
      </w:r>
      <w:r w:rsidR="009F7A5D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外商投资企业备案回执》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。</w:t>
      </w:r>
    </w:p>
    <w:p w:rsidR="00657C62" w:rsidRDefault="004E6D01" w:rsidP="00657C62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 w:cs="Helvetica"/>
          <w:color w:val="000000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</w:t>
      </w:r>
      <w:r w:rsidR="0055636D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</w:t>
      </w:r>
      <w:r w:rsidR="0001792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生产企业需提供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环境保护行政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管理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部门核发的排污许可证副本</w:t>
      </w:r>
      <w:r w:rsidR="00657C62">
        <w:rPr>
          <w:rFonts w:ascii="仿宋_GB2312" w:eastAsia="仿宋_GB2312" w:hAnsi="微软雅黑" w:cs="Helvetica" w:hint="eastAsia"/>
          <w:color w:val="000000"/>
          <w:sz w:val="32"/>
          <w:szCs w:val="32"/>
        </w:rPr>
        <w:t>。</w:t>
      </w:r>
    </w:p>
    <w:p w:rsidR="00DC592E" w:rsidRDefault="004E6D01" w:rsidP="00657C62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</w:t>
      </w:r>
      <w:r w:rsidR="0055636D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</w:t>
      </w:r>
      <w:r w:rsidR="0055636D" w:rsidRPr="00581796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流通企业需提供供货企业的由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环境保护行政主管部门核发的排污许可证副本</w:t>
      </w:r>
      <w:r w:rsidR="0055636D" w:rsidRPr="00581796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，同时提供购货增值税发票、</w:t>
      </w:r>
      <w:r w:rsidR="0064038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供货</w:t>
      </w:r>
      <w:r w:rsidR="0055636D" w:rsidRPr="00581796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合同。</w:t>
      </w:r>
    </w:p>
    <w:p w:rsidR="0055636D" w:rsidRDefault="00DC592E" w:rsidP="00657C62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（4）</w:t>
      </w:r>
      <w:r w:rsidR="006D5145">
        <w:rPr>
          <w:rFonts w:ascii="仿宋_GB2312" w:eastAsia="仿宋_GB2312" w:hAnsi="微软雅黑" w:cs="Helvetica" w:hint="eastAsia"/>
          <w:color w:val="000000"/>
          <w:sz w:val="32"/>
          <w:szCs w:val="32"/>
        </w:rPr>
        <w:t>第（四）项投标企业资质标准规定的承诺书。</w:t>
      </w:r>
    </w:p>
    <w:p w:rsidR="00AB2D83" w:rsidRPr="0075267A" w:rsidRDefault="004E6D01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上述材料均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须由申请企业法人代表签字确认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，提供正本扫描件</w:t>
      </w:r>
      <w:r w:rsidR="0019608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，并制作成电子版统一提交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。</w:t>
      </w:r>
    </w:p>
    <w:p w:rsidR="00AB2D83" w:rsidRPr="0075267A" w:rsidRDefault="004E6D01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4</w:t>
      </w:r>
      <w:r w:rsidR="00AD5CE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．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各地商务主管部门</w:t>
      </w:r>
      <w:r w:rsidR="00754E4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应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于</w:t>
      </w:r>
      <w:r w:rsidR="00754E4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201</w:t>
      </w:r>
      <w:r w:rsidR="0055636D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8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</w:t>
      </w:r>
      <w:r w:rsidR="007F772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12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月</w:t>
      </w:r>
      <w:r w:rsidR="007F772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12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日17时前将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接收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汇总后的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企业申报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材料</w:t>
      </w:r>
      <w:r w:rsidR="0028710D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报送</w:t>
      </w:r>
      <w:r w:rsidR="00754E4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招标委员会，如未在上述时限内报送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，招标委员会将不再受理。</w:t>
      </w:r>
    </w:p>
    <w:p w:rsidR="00AB2D83" w:rsidRPr="00AD5CE2" w:rsidRDefault="0084137D" w:rsidP="0075267A">
      <w:pPr>
        <w:pStyle w:val="a5"/>
        <w:spacing w:before="0" w:beforeAutospacing="0" w:after="0" w:afterAutospacing="0"/>
        <w:ind w:firstLineChars="200" w:firstLine="643"/>
        <w:jc w:val="both"/>
        <w:rPr>
          <w:rFonts w:ascii="楷体_GB2312" w:eastAsia="楷体_GB2312" w:hAnsi="Times New Roman" w:cs="Times New Roman"/>
          <w:b/>
          <w:color w:val="333333"/>
          <w:sz w:val="32"/>
          <w:szCs w:val="32"/>
        </w:rPr>
      </w:pPr>
      <w:r w:rsidRPr="00AD5CE2">
        <w:rPr>
          <w:rFonts w:ascii="楷体_GB2312" w:eastAsia="楷体_GB2312" w:hAnsi="Times New Roman" w:cs="Times New Roman" w:hint="eastAsia"/>
          <w:b/>
          <w:color w:val="333333"/>
          <w:sz w:val="32"/>
          <w:szCs w:val="32"/>
        </w:rPr>
        <w:t>（二）</w:t>
      </w:r>
      <w:r w:rsidR="00754E4E" w:rsidRPr="00AD5CE2">
        <w:rPr>
          <w:rFonts w:ascii="楷体_GB2312" w:eastAsia="楷体_GB2312" w:hAnsi="Times New Roman" w:cs="Times New Roman" w:hint="eastAsia"/>
          <w:b/>
          <w:color w:val="333333"/>
          <w:sz w:val="32"/>
          <w:szCs w:val="32"/>
        </w:rPr>
        <w:t>资格审核</w:t>
      </w:r>
      <w:r w:rsidR="00AD5CE2">
        <w:rPr>
          <w:rFonts w:ascii="楷体_GB2312" w:eastAsia="楷体_GB2312" w:hAnsi="Times New Roman" w:cs="Times New Roman" w:hint="eastAsia"/>
          <w:b/>
          <w:color w:val="333333"/>
          <w:sz w:val="32"/>
          <w:szCs w:val="32"/>
        </w:rPr>
        <w:t>。</w:t>
      </w:r>
    </w:p>
    <w:p w:rsidR="00AB2D83" w:rsidRPr="0075267A" w:rsidRDefault="00666A1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1</w:t>
      </w:r>
      <w:r w:rsidR="00AD5CE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．</w:t>
      </w:r>
      <w:r w:rsidR="00754E4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招标委员会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负责对企业投标资格进行审核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，投标资格审核于2018年12月</w:t>
      </w:r>
      <w:r w:rsidR="007F7728">
        <w:rPr>
          <w:rFonts w:ascii="仿宋_GB2312" w:eastAsia="仿宋_GB2312" w:hAnsi="微软雅黑" w:cs="Helvetica" w:hint="eastAsia"/>
          <w:color w:val="000000"/>
          <w:sz w:val="32"/>
          <w:szCs w:val="32"/>
        </w:rPr>
        <w:t>18</w:t>
      </w:r>
      <w:r w:rsidR="00657C62"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日前结束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。</w:t>
      </w:r>
    </w:p>
    <w:p w:rsidR="00AB2D83" w:rsidRPr="00011277" w:rsidRDefault="00666A1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</w:t>
      </w:r>
      <w:r w:rsidR="00AD5CE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．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各地商务主管部门</w:t>
      </w:r>
      <w:r w:rsidR="00754E4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应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将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接收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汇总后的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本地区</w:t>
      </w:r>
      <w:r w:rsidR="007263FD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企业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申报</w:t>
      </w:r>
      <w:r w:rsidR="007263FD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材料</w:t>
      </w:r>
      <w:r w:rsidR="00754E4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的电子版发送至招标委员会专用邮箱，邮箱地址</w:t>
      </w:r>
      <w:r w:rsidR="00754E4E" w:rsidRPr="00011277">
        <w:rPr>
          <w:rFonts w:ascii="Times New Roman" w:eastAsia="仿宋_GB2312" w:hAnsi="Times New Roman" w:cs="Times New Roman"/>
          <w:color w:val="333333"/>
          <w:sz w:val="32"/>
          <w:szCs w:val="32"/>
        </w:rPr>
        <w:t>qingfangchu@mofcom.gov.cn</w:t>
      </w:r>
      <w:r w:rsidR="00AB2D83" w:rsidRPr="00011277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AB2D83" w:rsidRPr="0075267A" w:rsidRDefault="00657C6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3</w:t>
      </w:r>
      <w:r w:rsidR="00AD5CE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．</w:t>
      </w:r>
      <w:r w:rsidR="00754E4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对通过审核的投标企业名单，</w:t>
      </w:r>
      <w:r w:rsidR="00AB2D83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招标委员会</w:t>
      </w:r>
      <w:r w:rsidR="00754E4E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将另行发布。</w:t>
      </w:r>
    </w:p>
    <w:p w:rsidR="00E108AF" w:rsidRPr="0084137D" w:rsidRDefault="00657C6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黑体" w:eastAsia="黑体" w:hAnsi="Times New Roman" w:cs="Times New Roman"/>
          <w:color w:val="333333"/>
          <w:sz w:val="32"/>
          <w:szCs w:val="32"/>
        </w:rPr>
      </w:pPr>
      <w:r>
        <w:rPr>
          <w:rFonts w:ascii="黑体" w:eastAsia="黑体" w:hAnsi="Times New Roman" w:cs="Times New Roman" w:hint="eastAsia"/>
          <w:color w:val="333333"/>
          <w:sz w:val="32"/>
          <w:szCs w:val="32"/>
        </w:rPr>
        <w:t>六</w:t>
      </w:r>
      <w:r w:rsidR="00E108AF" w:rsidRPr="0084137D">
        <w:rPr>
          <w:rFonts w:ascii="黑体" w:eastAsia="黑体" w:hAnsi="Times New Roman" w:cs="Times New Roman" w:hint="eastAsia"/>
          <w:color w:val="333333"/>
          <w:sz w:val="32"/>
          <w:szCs w:val="32"/>
        </w:rPr>
        <w:t>、投标数量</w:t>
      </w:r>
    </w:p>
    <w:p w:rsidR="008E651D" w:rsidRPr="0055636D" w:rsidRDefault="00E108AF" w:rsidP="0055636D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两次招标，最高投标量</w:t>
      </w:r>
      <w:r w:rsidR="00666A1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均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按企业201</w:t>
      </w:r>
      <w:r w:rsidR="0055636D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6</w:t>
      </w:r>
      <w:r w:rsidR="00657C62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年、2017年、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201</w:t>
      </w:r>
      <w:r w:rsidR="0055636D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8</w:t>
      </w:r>
      <w:r w:rsidR="00657C62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1-9</w:t>
      </w:r>
      <w:r w:rsidR="00657C62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月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平均出口数量分档。具体分档标准</w:t>
      </w:r>
      <w:r w:rsidR="00666A1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详见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《201</w:t>
      </w:r>
      <w:r w:rsidR="0055636D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9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</w:t>
      </w:r>
      <w:r w:rsidR="00666A1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度甘草</w:t>
      </w:r>
      <w:r w:rsidR="00640380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及甘草制品</w:t>
      </w:r>
      <w:r w:rsidR="00666A12"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出口配额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投标数量分档标准》（附件</w:t>
      </w:r>
      <w:r w:rsidR="00657C62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</w:t>
      </w: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）。</w:t>
      </w:r>
    </w:p>
    <w:p w:rsidR="00E108AF" w:rsidRPr="0084137D" w:rsidRDefault="00657C6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黑体" w:eastAsia="黑体" w:hAnsi="Times New Roman" w:cs="Times New Roman"/>
          <w:color w:val="333333"/>
          <w:sz w:val="32"/>
          <w:szCs w:val="32"/>
        </w:rPr>
      </w:pPr>
      <w:r>
        <w:rPr>
          <w:rFonts w:ascii="黑体" w:eastAsia="黑体" w:hAnsi="Times New Roman" w:cs="Times New Roman" w:hint="eastAsia"/>
          <w:color w:val="333333"/>
          <w:sz w:val="32"/>
          <w:szCs w:val="32"/>
        </w:rPr>
        <w:t>七</w:t>
      </w:r>
      <w:r w:rsidR="00666A12" w:rsidRPr="0084137D">
        <w:rPr>
          <w:rFonts w:ascii="黑体" w:eastAsia="黑体" w:hAnsi="Times New Roman" w:cs="Times New Roman" w:hint="eastAsia"/>
          <w:color w:val="333333"/>
          <w:sz w:val="32"/>
          <w:szCs w:val="32"/>
        </w:rPr>
        <w:t>、</w:t>
      </w:r>
      <w:r w:rsidR="00E108AF" w:rsidRPr="0084137D">
        <w:rPr>
          <w:rFonts w:ascii="黑体" w:eastAsia="黑体" w:hAnsi="Times New Roman" w:cs="Times New Roman" w:hint="eastAsia"/>
          <w:color w:val="333333"/>
          <w:sz w:val="32"/>
          <w:szCs w:val="32"/>
        </w:rPr>
        <w:t>投标价格</w:t>
      </w:r>
    </w:p>
    <w:p w:rsidR="00E108AF" w:rsidRPr="00F85745" w:rsidRDefault="00E108AF" w:rsidP="0075267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>招标设最低投标价格，投标企业可在电子标书上直接接收招标委员会确定的最低投标价。低于招标委员会规定的最低投标价格水平的标书为废标。</w:t>
      </w:r>
    </w:p>
    <w:p w:rsidR="00666A12" w:rsidRPr="0084137D" w:rsidRDefault="00657C62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八</w:t>
      </w:r>
      <w:r w:rsidR="00666A12" w:rsidRPr="0084137D">
        <w:rPr>
          <w:rFonts w:ascii="黑体" w:eastAsia="黑体" w:hAnsi="Times New Roman" w:cs="Times New Roman" w:hint="eastAsia"/>
          <w:sz w:val="32"/>
          <w:szCs w:val="32"/>
        </w:rPr>
        <w:t>、投标方式</w:t>
      </w:r>
    </w:p>
    <w:p w:rsidR="00666A12" w:rsidRPr="0075267A" w:rsidRDefault="00F2291B" w:rsidP="0075267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通过</w:t>
      </w:r>
      <w:r w:rsidR="00D11FEC">
        <w:rPr>
          <w:rFonts w:ascii="仿宋_GB2312" w:eastAsia="仿宋_GB2312" w:hAnsi="Times New Roman" w:cs="Times New Roman" w:hint="eastAsia"/>
          <w:sz w:val="32"/>
          <w:szCs w:val="32"/>
        </w:rPr>
        <w:t>商务部业务系统统一平台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进行电子投标。招标委员会一律不接受书面投标。</w:t>
      </w:r>
      <w:r w:rsidR="00666A12" w:rsidRPr="0075267A">
        <w:rPr>
          <w:rFonts w:ascii="仿宋_GB2312" w:eastAsia="仿宋_GB2312" w:hAnsi="Times New Roman" w:cs="Times New Roman" w:hint="eastAsia"/>
          <w:sz w:val="32"/>
          <w:szCs w:val="32"/>
        </w:rPr>
        <w:t>企业在规定的截标时点前只能投一份电子标书，当同一企业成功送达的电子标书出现两份以上（含两份）时，该企业的标书视为无效。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企业无法在规定时点前发出电子标书的视为自动放弃投标资格。</w:t>
      </w:r>
    </w:p>
    <w:p w:rsidR="002F62C5" w:rsidRPr="0075267A" w:rsidRDefault="00666A12" w:rsidP="0075267A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企业完成投标操作后，</w:t>
      </w:r>
      <w:r w:rsidR="00D11FEC" w:rsidRPr="00D11FEC">
        <w:rPr>
          <w:rFonts w:ascii="仿宋_GB2312" w:eastAsia="仿宋_GB2312" w:hAnsi="Times New Roman" w:cs="Times New Roman" w:hint="eastAsia"/>
          <w:sz w:val="32"/>
          <w:szCs w:val="32"/>
        </w:rPr>
        <w:t>可登录</w:t>
      </w:r>
      <w:r w:rsidRPr="00D11FEC">
        <w:rPr>
          <w:rFonts w:ascii="仿宋_GB2312" w:eastAsia="仿宋_GB2312" w:hAnsi="Times New Roman" w:cs="Times New Roman" w:hint="eastAsia"/>
          <w:sz w:val="32"/>
          <w:szCs w:val="32"/>
        </w:rPr>
        <w:t>到</w:t>
      </w:r>
      <w:r w:rsidR="00D11FEC" w:rsidRPr="00D11FEC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D11FEC">
        <w:rPr>
          <w:rFonts w:ascii="仿宋_GB2312" w:eastAsia="仿宋_GB2312" w:hAnsi="Times New Roman" w:cs="Times New Roman" w:hint="eastAsia"/>
          <w:sz w:val="32"/>
          <w:szCs w:val="32"/>
        </w:rPr>
        <w:t>商务部业务系统统一</w:t>
      </w:r>
      <w:r w:rsidR="00D11FE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平台—电子招标企业信息服务应用”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查询标书是否已被主机成功接收</w:t>
      </w:r>
      <w:r w:rsidR="00F2291B" w:rsidRPr="0075267A">
        <w:rPr>
          <w:rFonts w:ascii="仿宋_GB2312" w:eastAsia="仿宋_GB2312" w:hAnsi="Times New Roman" w:cs="Times New Roman" w:hint="eastAsia"/>
          <w:sz w:val="32"/>
          <w:szCs w:val="32"/>
        </w:rPr>
        <w:t>并处理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66A12" w:rsidRPr="0075267A" w:rsidRDefault="00666A12" w:rsidP="0075267A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如电子投标出现故障，请最迟于截标时间前2小时与中国国际电子商务中心客户服务热线联系，及时排除故障。否则，企业投标操作失败将自行承担责任。</w:t>
      </w:r>
    </w:p>
    <w:p w:rsidR="00666A12" w:rsidRPr="0075267A" w:rsidRDefault="00666A12" w:rsidP="0075267A">
      <w:pPr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 xml:space="preserve">　　电子招标投标技术保障工作由中国国际电子商务中心（EDI）负责，具体操作上的问题由EDI负责解释。</w:t>
      </w:r>
    </w:p>
    <w:p w:rsidR="00666A12" w:rsidRPr="0075267A" w:rsidRDefault="00666A12" w:rsidP="0075267A">
      <w:pPr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  <w:r w:rsidR="0013029B" w:rsidRPr="0075267A">
        <w:rPr>
          <w:rFonts w:ascii="仿宋_GB2312" w:eastAsia="仿宋_GB2312" w:hAnsi="Times New Roman" w:cs="Times New Roman" w:hint="eastAsia"/>
          <w:sz w:val="32"/>
          <w:szCs w:val="32"/>
        </w:rPr>
        <w:t>客户服务热线：010-67870108（拨通后按号码1再按号码3）</w:t>
      </w:r>
    </w:p>
    <w:p w:rsidR="008E651D" w:rsidRPr="0055636D" w:rsidRDefault="00666A12" w:rsidP="0055636D">
      <w:pPr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 xml:space="preserve">　　传真：010－67800343</w:t>
      </w:r>
    </w:p>
    <w:p w:rsidR="00E108AF" w:rsidRPr="0084137D" w:rsidRDefault="00657C62" w:rsidP="0075267A">
      <w:pPr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九</w:t>
      </w:r>
      <w:r w:rsidR="00E108AF" w:rsidRPr="0084137D">
        <w:rPr>
          <w:rFonts w:ascii="黑体" w:eastAsia="黑体" w:hAnsi="Times New Roman" w:cs="Times New Roman" w:hint="eastAsia"/>
          <w:sz w:val="32"/>
          <w:szCs w:val="32"/>
        </w:rPr>
        <w:t>、中标价格和中标数量</w:t>
      </w:r>
    </w:p>
    <w:p w:rsidR="00E108AF" w:rsidRPr="00F85745" w:rsidRDefault="00E108AF" w:rsidP="0075267A">
      <w:pPr>
        <w:rPr>
          <w:rFonts w:ascii="Times New Roman" w:eastAsia="仿宋_GB2312" w:hAnsi="Times New Roman" w:cs="Times New Roman"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 xml:space="preserve">　　将所有投标企业的投标价格由高到低进行排序，按照排序先后累计投标企业的投标数量，当累计投标数量与招标总量相等时，计入累计投标总量（即招标总量）的企业，即为中标企业。</w:t>
      </w:r>
    </w:p>
    <w:p w:rsidR="00E108AF" w:rsidRPr="00F85745" w:rsidRDefault="00E108AF" w:rsidP="0075267A">
      <w:pPr>
        <w:rPr>
          <w:rFonts w:ascii="Times New Roman" w:eastAsia="仿宋_GB2312" w:hAnsi="Times New Roman" w:cs="Times New Roman"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 xml:space="preserve">　　中标企业的中标数量为其投标量。如果在最低中标价位的企业投标数量之和超过剩余配额数量时，此价位的企业按其投标数量比例分配剩余配额。企业中标价格即为企业投标价格。</w:t>
      </w:r>
    </w:p>
    <w:p w:rsidR="00E108AF" w:rsidRPr="0084137D" w:rsidRDefault="00E108AF" w:rsidP="0075267A">
      <w:pPr>
        <w:rPr>
          <w:rFonts w:ascii="黑体" w:eastAsia="黑体" w:hAnsi="Times New Roman" w:cs="Times New Roman"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="00657C62">
        <w:rPr>
          <w:rFonts w:ascii="黑体" w:eastAsia="黑体" w:hAnsi="Times New Roman" w:cs="Times New Roman" w:hint="eastAsia"/>
          <w:sz w:val="32"/>
          <w:szCs w:val="32"/>
        </w:rPr>
        <w:t>十</w:t>
      </w:r>
      <w:r w:rsidRPr="0084137D">
        <w:rPr>
          <w:rFonts w:ascii="黑体" w:eastAsia="黑体" w:hAnsi="Times New Roman" w:cs="Times New Roman" w:hint="eastAsia"/>
          <w:sz w:val="32"/>
          <w:szCs w:val="32"/>
        </w:rPr>
        <w:t>、中标结果查询</w:t>
      </w:r>
    </w:p>
    <w:p w:rsidR="00A51DF1" w:rsidRPr="00F85745" w:rsidRDefault="00E108AF" w:rsidP="0075267A">
      <w:pPr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D11FEC">
        <w:rPr>
          <w:rFonts w:ascii="Times New Roman" w:eastAsia="仿宋_GB2312" w:hAnsi="Times New Roman" w:cs="Times New Roman"/>
          <w:sz w:val="32"/>
          <w:szCs w:val="32"/>
        </w:rPr>
        <w:t>每次招标将于开标后次日在</w:t>
      </w:r>
      <w:r w:rsidR="00D11FEC" w:rsidRPr="00D11FEC">
        <w:rPr>
          <w:rFonts w:ascii="仿宋_GB2312" w:eastAsia="仿宋_GB2312" w:hAnsi="Times New Roman" w:cs="Times New Roman" w:hint="eastAsia"/>
          <w:sz w:val="32"/>
          <w:szCs w:val="32"/>
        </w:rPr>
        <w:t>“商务部业务系统统一平台—电子招标企业信息服务应用”中</w:t>
      </w:r>
      <w:r w:rsidR="00640380" w:rsidRPr="00D11FEC">
        <w:rPr>
          <w:rFonts w:ascii="Times New Roman" w:eastAsia="仿宋_GB2312" w:hAnsi="Times New Roman" w:cs="Times New Roman"/>
          <w:sz w:val="32"/>
          <w:szCs w:val="32"/>
        </w:rPr>
        <w:t>公布初步中标结果。投标</w:t>
      </w:r>
      <w:r w:rsidR="00640380" w:rsidRPr="00D11FEC">
        <w:rPr>
          <w:rFonts w:ascii="Times New Roman" w:eastAsia="仿宋_GB2312" w:hAnsi="Times New Roman" w:cs="Times New Roman"/>
          <w:sz w:val="32"/>
          <w:szCs w:val="32"/>
        </w:rPr>
        <w:lastRenderedPageBreak/>
        <w:t>企业如有疑问，可于公布初步中标结果</w:t>
      </w:r>
      <w:r w:rsidR="00640380" w:rsidRPr="00D11FE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40380" w:rsidRPr="00D11FEC">
        <w:rPr>
          <w:rFonts w:ascii="Times New Roman" w:eastAsia="仿宋_GB2312" w:hAnsi="Times New Roman" w:cs="Times New Roman" w:hint="eastAsia"/>
          <w:sz w:val="32"/>
          <w:szCs w:val="32"/>
        </w:rPr>
        <w:t>个工作日</w:t>
      </w:r>
      <w:r w:rsidRPr="00D11FEC">
        <w:rPr>
          <w:rFonts w:ascii="Times New Roman" w:eastAsia="仿宋_GB2312" w:hAnsi="Times New Roman" w:cs="Times New Roman"/>
          <w:sz w:val="32"/>
          <w:szCs w:val="32"/>
        </w:rPr>
        <w:t>内向招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标委员会提出。一周后，各投标企业可通过</w:t>
      </w:r>
      <w:proofErr w:type="gramStart"/>
      <w:r w:rsidR="00D11FEC" w:rsidRPr="00D11FEC">
        <w:rPr>
          <w:rFonts w:ascii="Times New Roman" w:eastAsia="仿宋_GB2312" w:hAnsi="Times New Roman" w:cs="Times New Roman" w:hint="eastAsia"/>
          <w:sz w:val="32"/>
          <w:szCs w:val="32"/>
        </w:rPr>
        <w:t>商务部官网</w:t>
      </w:r>
      <w:r w:rsidRPr="00D11FEC">
        <w:rPr>
          <w:rFonts w:ascii="Times New Roman" w:eastAsia="仿宋_GB2312" w:hAnsi="Times New Roman" w:cs="Times New Roman"/>
          <w:sz w:val="32"/>
          <w:szCs w:val="32"/>
        </w:rPr>
        <w:t>查询</w:t>
      </w:r>
      <w:proofErr w:type="gramEnd"/>
      <w:r w:rsidRPr="00D11FEC">
        <w:rPr>
          <w:rFonts w:ascii="Times New Roman" w:eastAsia="仿宋_GB2312" w:hAnsi="Times New Roman" w:cs="Times New Roman"/>
          <w:sz w:val="32"/>
          <w:szCs w:val="32"/>
        </w:rPr>
        <w:t>经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招标委员会审核正式公布的企业中标情况。</w:t>
      </w:r>
    </w:p>
    <w:p w:rsidR="00E108AF" w:rsidRPr="0084137D" w:rsidRDefault="00E108AF" w:rsidP="0075267A">
      <w:pPr>
        <w:rPr>
          <w:rFonts w:ascii="黑体" w:eastAsia="黑体" w:hAnsi="Times New Roman" w:cs="Times New Roman"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="00657C62">
        <w:rPr>
          <w:rFonts w:ascii="黑体" w:eastAsia="黑体" w:hAnsi="Times New Roman" w:cs="Times New Roman" w:hint="eastAsia"/>
          <w:sz w:val="32"/>
          <w:szCs w:val="32"/>
        </w:rPr>
        <w:t xml:space="preserve">　十一</w:t>
      </w:r>
      <w:r w:rsidRPr="0084137D">
        <w:rPr>
          <w:rFonts w:ascii="黑体" w:eastAsia="黑体" w:hAnsi="Times New Roman" w:cs="Times New Roman" w:hint="eastAsia"/>
          <w:sz w:val="32"/>
          <w:szCs w:val="32"/>
        </w:rPr>
        <w:t>、中标保证金</w:t>
      </w:r>
      <w:r w:rsidR="00657C62">
        <w:rPr>
          <w:rFonts w:ascii="黑体" w:eastAsia="黑体" w:hAnsi="Times New Roman" w:cs="Times New Roman" w:hint="eastAsia"/>
          <w:sz w:val="32"/>
          <w:szCs w:val="32"/>
        </w:rPr>
        <w:t>及中标金</w:t>
      </w:r>
    </w:p>
    <w:p w:rsidR="00657C62" w:rsidRDefault="00657C62" w:rsidP="0075267A">
      <w:pPr>
        <w:ind w:firstLine="630"/>
        <w:rPr>
          <w:rFonts w:ascii="仿宋_GB2312" w:eastAsia="仿宋_GB2312" w:hAnsi="微软雅黑" w:cs="Helvetica"/>
          <w:color w:val="000000"/>
          <w:sz w:val="32"/>
          <w:szCs w:val="32"/>
        </w:rPr>
      </w:pPr>
      <w:r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中标结果公布后，各中标企业须于2019年2月28日和8月30</w:t>
      </w:r>
      <w:r w:rsidR="005F1730">
        <w:rPr>
          <w:rFonts w:ascii="仿宋_GB2312" w:eastAsia="仿宋_GB2312" w:hAnsi="微软雅黑" w:cs="Helvetica" w:hint="eastAsia"/>
          <w:color w:val="000000"/>
          <w:sz w:val="32"/>
          <w:szCs w:val="32"/>
        </w:rPr>
        <w:t>日前缴纳</w:t>
      </w:r>
      <w:r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中标保证金，中标保证金为中标金的10％。中标保证金及中标金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实行电子化缴纳，具体指引详见</w:t>
      </w:r>
      <w:r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附件3。</w:t>
      </w:r>
    </w:p>
    <w:p w:rsidR="00E108AF" w:rsidRPr="0084137D" w:rsidRDefault="00657C62" w:rsidP="00657C62">
      <w:pPr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十二</w:t>
      </w:r>
      <w:r w:rsidR="00E108AF" w:rsidRPr="0084137D">
        <w:rPr>
          <w:rFonts w:ascii="黑体" w:eastAsia="黑体" w:hAnsi="Times New Roman" w:cs="Times New Roman" w:hint="eastAsia"/>
          <w:sz w:val="32"/>
          <w:szCs w:val="32"/>
        </w:rPr>
        <w:t>、其他</w:t>
      </w:r>
    </w:p>
    <w:p w:rsidR="006D5145" w:rsidRDefault="00A51DF1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（一）</w:t>
      </w:r>
      <w:r w:rsidR="00A02BE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凡违反就</w:t>
      </w:r>
      <w:r w:rsidR="00A02BE8">
        <w:rPr>
          <w:rFonts w:ascii="仿宋_GB2312" w:eastAsia="仿宋_GB2312" w:hAnsi="微软雅黑" w:cs="Helvetica" w:hint="eastAsia"/>
          <w:color w:val="000000"/>
          <w:sz w:val="32"/>
          <w:szCs w:val="32"/>
        </w:rPr>
        <w:t>第（四）项投标企业资质标准所作</w:t>
      </w:r>
      <w:r w:rsidR="00A02BE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承诺的，一经发现，将收回该企业2018年度尚未使用的中标配额，且2019年度不再受理该企业投标申请。</w:t>
      </w:r>
    </w:p>
    <w:p w:rsidR="00401779" w:rsidRPr="0075267A" w:rsidRDefault="00A02BE8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（二）</w:t>
      </w:r>
      <w:r w:rsidR="00D708B2" w:rsidRPr="0075267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具有甘草</w:t>
      </w:r>
      <w:r w:rsidR="0064038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及甘草制品</w:t>
      </w:r>
      <w:r w:rsidR="00D708B2" w:rsidRPr="0075267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投标资格的企业采用来（进）料加工贸易方式的，出口数量不受全年配额招标总量限制，其标价按相应中标价格的平均价减半收取。</w:t>
      </w:r>
    </w:p>
    <w:p w:rsidR="00A51DF1" w:rsidRPr="0075267A" w:rsidRDefault="00A02BE8" w:rsidP="0075267A">
      <w:pPr>
        <w:pStyle w:val="a5"/>
        <w:spacing w:before="0" w:beforeAutospacing="0" w:after="0" w:afterAutospacing="0"/>
        <w:ind w:leftChars="76" w:left="160" w:firstLineChars="150"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（三</w:t>
      </w:r>
      <w:r w:rsidR="00A51DF1" w:rsidRPr="0075267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</w:t>
      </w:r>
      <w:r w:rsidR="00D708B2" w:rsidRPr="0075267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为保证企业顺利投标，请各地商务主管部门将经招标委员会核</w:t>
      </w:r>
      <w:r w:rsidR="00AB2D83" w:rsidRPr="0075267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定的具备投标资格的企业信息提交至商务部电子商务中心。</w:t>
      </w:r>
    </w:p>
    <w:p w:rsidR="00AB2D83" w:rsidRPr="0075267A" w:rsidRDefault="00124520" w:rsidP="0075267A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有关投标网络问题请及时咨询中国国际</w:t>
      </w:r>
      <w:r w:rsidR="00AB2D83" w:rsidRPr="0075267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电子商务中心(联系电话：010-67800208)。</w:t>
      </w:r>
    </w:p>
    <w:p w:rsidR="0028710D" w:rsidRPr="0075267A" w:rsidRDefault="0028710D" w:rsidP="0075267A">
      <w:pPr>
        <w:widowControl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甘草</w:t>
      </w:r>
      <w:r w:rsidR="00640380">
        <w:rPr>
          <w:rFonts w:ascii="仿宋_GB2312" w:eastAsia="仿宋_GB2312" w:hAnsi="Times New Roman" w:cs="Times New Roman" w:hint="eastAsia"/>
          <w:sz w:val="32"/>
          <w:szCs w:val="32"/>
        </w:rPr>
        <w:t>及甘草制品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出口配额招标委员会</w:t>
      </w:r>
    </w:p>
    <w:p w:rsidR="0028710D" w:rsidRPr="0075267A" w:rsidRDefault="0028710D" w:rsidP="0075267A">
      <w:pPr>
        <w:widowControl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地址：</w:t>
      </w:r>
      <w:r w:rsidR="00666A12" w:rsidRPr="0075267A">
        <w:rPr>
          <w:rFonts w:ascii="仿宋_GB2312" w:eastAsia="仿宋_GB2312" w:hAnsi="Times New Roman" w:cs="Times New Roman" w:hint="eastAsia"/>
          <w:sz w:val="32"/>
          <w:szCs w:val="32"/>
        </w:rPr>
        <w:t>北京东长安街2号</w:t>
      </w:r>
    </w:p>
    <w:p w:rsidR="0028710D" w:rsidRPr="0075267A" w:rsidRDefault="0028710D" w:rsidP="0075267A">
      <w:pPr>
        <w:widowControl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电话：</w:t>
      </w:r>
      <w:r w:rsidR="00666A12" w:rsidRPr="0075267A">
        <w:rPr>
          <w:rFonts w:ascii="仿宋_GB2312" w:eastAsia="仿宋_GB2312" w:hAnsi="Times New Roman" w:cs="Times New Roman" w:hint="eastAsia"/>
          <w:sz w:val="32"/>
          <w:szCs w:val="32"/>
        </w:rPr>
        <w:t>010-58036251、</w:t>
      </w:r>
      <w:r w:rsidR="006E7854" w:rsidRPr="0075267A">
        <w:rPr>
          <w:rFonts w:ascii="仿宋_GB2312" w:eastAsia="仿宋_GB2312" w:hAnsi="Times New Roman" w:cs="Times New Roman" w:hint="eastAsia"/>
          <w:sz w:val="32"/>
          <w:szCs w:val="32"/>
        </w:rPr>
        <w:t>65197</w:t>
      </w:r>
      <w:r w:rsidR="009C6917" w:rsidRPr="0075267A">
        <w:rPr>
          <w:rFonts w:ascii="仿宋_GB2312" w:eastAsia="仿宋_GB2312" w:hAnsi="Times New Roman" w:cs="Times New Roman" w:hint="eastAsia"/>
          <w:sz w:val="32"/>
          <w:szCs w:val="32"/>
        </w:rPr>
        <w:t>731、65197489</w:t>
      </w:r>
    </w:p>
    <w:p w:rsidR="00D12D12" w:rsidRPr="0075267A" w:rsidRDefault="0028710D" w:rsidP="008E651D">
      <w:pPr>
        <w:widowControl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传真：</w:t>
      </w:r>
      <w:r w:rsidR="00666A12" w:rsidRPr="0075267A">
        <w:rPr>
          <w:rFonts w:ascii="仿宋_GB2312" w:eastAsia="仿宋_GB2312" w:hAnsi="Times New Roman" w:cs="Times New Roman" w:hint="eastAsia"/>
          <w:sz w:val="32"/>
          <w:szCs w:val="32"/>
        </w:rPr>
        <w:t>010-58036254</w:t>
      </w:r>
    </w:p>
    <w:p w:rsidR="00D12D12" w:rsidRPr="0075267A" w:rsidRDefault="00D12D12" w:rsidP="00657C62">
      <w:pPr>
        <w:widowControl/>
        <w:ind w:leftChars="304" w:left="2078" w:hangingChars="450" w:hanging="1440"/>
        <w:rPr>
          <w:rFonts w:ascii="仿宋_GB2312" w:eastAsia="仿宋_GB2312" w:hAnsi="Times New Roman" w:cs="Times New Roman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C15EC6">
        <w:rPr>
          <w:rFonts w:ascii="仿宋_GB2312" w:eastAsia="仿宋_GB2312" w:hAnsi="Times New Roman" w:cs="Times New Roman" w:hint="eastAsia"/>
          <w:sz w:val="32"/>
          <w:szCs w:val="32"/>
        </w:rPr>
        <w:t xml:space="preserve">： </w:t>
      </w:r>
      <w:r w:rsidR="00657C62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75267A">
        <w:rPr>
          <w:rFonts w:ascii="仿宋_GB2312" w:eastAsia="仿宋_GB2312" w:hAnsi="Times New Roman" w:cs="Times New Roman" w:hint="eastAsia"/>
          <w:sz w:val="32"/>
          <w:szCs w:val="32"/>
        </w:rPr>
        <w:t>.申请投标企业资格申报表</w:t>
      </w:r>
    </w:p>
    <w:p w:rsidR="00D12D12" w:rsidRDefault="00657C62" w:rsidP="00C15EC6">
      <w:pPr>
        <w:widowControl/>
        <w:ind w:leftChars="836" w:left="2076" w:hangingChars="100" w:hanging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C15EC6">
        <w:rPr>
          <w:rFonts w:ascii="仿宋_GB2312" w:eastAsia="仿宋_GB2312" w:hAnsi="Times New Roman" w:cs="Times New Roman" w:hint="eastAsia"/>
          <w:sz w:val="32"/>
          <w:szCs w:val="32"/>
        </w:rPr>
        <w:t>.2</w:t>
      </w:r>
      <w:r w:rsidR="0055636D">
        <w:rPr>
          <w:rFonts w:ascii="仿宋_GB2312" w:eastAsia="仿宋_GB2312" w:hAnsi="Times New Roman" w:cs="Times New Roman" w:hint="eastAsia"/>
          <w:sz w:val="32"/>
          <w:szCs w:val="32"/>
        </w:rPr>
        <w:t>019</w:t>
      </w:r>
      <w:r w:rsidR="00D12D12" w:rsidRPr="0075267A">
        <w:rPr>
          <w:rFonts w:ascii="仿宋_GB2312" w:eastAsia="仿宋_GB2312" w:hAnsi="Times New Roman" w:cs="Times New Roman" w:hint="eastAsia"/>
          <w:sz w:val="32"/>
          <w:szCs w:val="32"/>
        </w:rPr>
        <w:t>年度甘草</w:t>
      </w:r>
      <w:r w:rsidR="00640380">
        <w:rPr>
          <w:rFonts w:ascii="仿宋_GB2312" w:eastAsia="仿宋_GB2312" w:hAnsi="Times New Roman" w:cs="Times New Roman" w:hint="eastAsia"/>
          <w:sz w:val="32"/>
          <w:szCs w:val="32"/>
        </w:rPr>
        <w:t>及甘草制品</w:t>
      </w:r>
      <w:r w:rsidR="00D12D12" w:rsidRPr="0075267A">
        <w:rPr>
          <w:rFonts w:ascii="仿宋_GB2312" w:eastAsia="仿宋_GB2312" w:hAnsi="Times New Roman" w:cs="Times New Roman" w:hint="eastAsia"/>
          <w:sz w:val="32"/>
          <w:szCs w:val="32"/>
        </w:rPr>
        <w:t>出口配额投标数量分档标准</w:t>
      </w:r>
    </w:p>
    <w:p w:rsidR="00640380" w:rsidRPr="0075267A" w:rsidRDefault="00640380" w:rsidP="00C15EC6">
      <w:pPr>
        <w:widowControl/>
        <w:ind w:leftChars="836" w:left="2076" w:hangingChars="100" w:hanging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Pr="00640380">
        <w:rPr>
          <w:rFonts w:ascii="仿宋_GB2312" w:eastAsia="仿宋_GB2312" w:hAnsi="微软雅黑" w:cs="Helvetica" w:hint="eastAsia"/>
          <w:color w:val="000000"/>
          <w:sz w:val="32"/>
          <w:szCs w:val="32"/>
        </w:rPr>
        <w:t xml:space="preserve"> </w:t>
      </w:r>
      <w:r w:rsidRPr="00D023FA">
        <w:rPr>
          <w:rFonts w:ascii="仿宋_GB2312" w:eastAsia="仿宋_GB2312" w:hAnsi="微软雅黑" w:cs="Helvetica" w:hint="eastAsia"/>
          <w:color w:val="000000"/>
          <w:sz w:val="32"/>
          <w:szCs w:val="32"/>
        </w:rPr>
        <w:t>中标保证金及中标金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电子化</w:t>
      </w:r>
      <w:r>
        <w:rPr>
          <w:rFonts w:ascii="仿宋_GB2312" w:eastAsia="仿宋_GB2312" w:hAnsi="微软雅黑" w:cs="Helvetica" w:hint="eastAsia"/>
          <w:color w:val="000000"/>
          <w:sz w:val="32"/>
          <w:szCs w:val="32"/>
        </w:rPr>
        <w:t>缴纳</w:t>
      </w:r>
      <w:r w:rsidR="00017920">
        <w:rPr>
          <w:rFonts w:ascii="仿宋_GB2312" w:eastAsia="仿宋_GB2312" w:hAnsi="微软雅黑" w:cs="Helvetica" w:hint="eastAsia"/>
          <w:color w:val="000000"/>
          <w:sz w:val="32"/>
          <w:szCs w:val="32"/>
        </w:rPr>
        <w:t>指引</w:t>
      </w:r>
    </w:p>
    <w:p w:rsidR="00E03E44" w:rsidRDefault="00D12D12" w:rsidP="008E651D">
      <w:pPr>
        <w:widowControl/>
        <w:ind w:firstLineChars="450" w:firstLine="14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75267A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                           </w:t>
      </w:r>
      <w:r w:rsidR="008E651D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 </w:t>
      </w:r>
    </w:p>
    <w:p w:rsidR="00E03E44" w:rsidRDefault="00E03E44" w:rsidP="008E651D">
      <w:pPr>
        <w:widowControl/>
        <w:ind w:firstLineChars="450" w:firstLine="1440"/>
        <w:rPr>
          <w:rFonts w:ascii="仿宋_GB2312" w:eastAsia="仿宋_GB2312" w:hAnsi="Times New Roman" w:cs="Times New Roman"/>
          <w:color w:val="333333"/>
          <w:sz w:val="32"/>
          <w:szCs w:val="32"/>
        </w:rPr>
      </w:pPr>
    </w:p>
    <w:p w:rsidR="00E03E44" w:rsidRDefault="00E03E44" w:rsidP="008E651D">
      <w:pPr>
        <w:widowControl/>
        <w:ind w:firstLineChars="450" w:firstLine="1440"/>
        <w:rPr>
          <w:rFonts w:ascii="仿宋_GB2312" w:eastAsia="仿宋_GB2312" w:hAnsi="Times New Roman" w:cs="Times New Roman"/>
          <w:color w:val="333333"/>
          <w:sz w:val="32"/>
          <w:szCs w:val="32"/>
        </w:rPr>
      </w:pPr>
    </w:p>
    <w:p w:rsidR="00E03E44" w:rsidRDefault="00E03E44" w:rsidP="008E651D">
      <w:pPr>
        <w:widowControl/>
        <w:ind w:firstLineChars="450" w:firstLine="1440"/>
        <w:rPr>
          <w:rFonts w:ascii="仿宋_GB2312" w:eastAsia="仿宋_GB2312" w:hAnsi="Times New Roman" w:cs="Times New Roman"/>
          <w:color w:val="333333"/>
          <w:sz w:val="32"/>
          <w:szCs w:val="32"/>
        </w:rPr>
      </w:pPr>
    </w:p>
    <w:p w:rsidR="00D12D12" w:rsidRPr="008E651D" w:rsidRDefault="00E03E44" w:rsidP="00E03E44">
      <w:pPr>
        <w:widowControl/>
        <w:ind w:right="640" w:firstLineChars="450" w:firstLine="1440"/>
        <w:jc w:val="center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                         </w:t>
      </w:r>
      <w:r w:rsidR="00D12D12" w:rsidRPr="0075267A">
        <w:rPr>
          <w:rFonts w:ascii="仿宋_GB2312" w:eastAsia="仿宋_GB2312" w:hAnsi="Times New Roman" w:cs="Times New Roman" w:hint="eastAsia"/>
          <w:sz w:val="32"/>
          <w:szCs w:val="32"/>
        </w:rPr>
        <w:t>商务部</w:t>
      </w:r>
    </w:p>
    <w:p w:rsidR="008E651D" w:rsidRPr="008E651D" w:rsidRDefault="0055636D" w:rsidP="008E651D">
      <w:pPr>
        <w:widowControl/>
        <w:ind w:firstLineChars="450" w:firstLine="14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2018</w:t>
      </w:r>
      <w:r w:rsidR="00D12D12" w:rsidRPr="0075267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F7728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D12D12" w:rsidRPr="0075267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31A1F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D12D12" w:rsidRPr="0075267A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874AA1" w:rsidRPr="00F85745" w:rsidRDefault="00874AA1" w:rsidP="0075267A">
      <w:pPr>
        <w:widowControl/>
        <w:rPr>
          <w:rFonts w:ascii="Times New Roman" w:eastAsia="仿宋_GB2312" w:hAnsi="Times New Roman" w:cs="Times New Roman"/>
          <w:color w:val="333333"/>
          <w:sz w:val="32"/>
          <w:szCs w:val="32"/>
        </w:rPr>
        <w:sectPr w:rsidR="00874AA1" w:rsidRPr="00F85745" w:rsidSect="00673C9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AA1" w:rsidRPr="00A80FF4" w:rsidRDefault="0013659C" w:rsidP="0075267A">
      <w:pPr>
        <w:rPr>
          <w:rFonts w:ascii="黑体" w:eastAsia="黑体" w:hAnsi="Times New Roman" w:cs="Times New Roman"/>
          <w:sz w:val="32"/>
          <w:szCs w:val="32"/>
        </w:rPr>
      </w:pPr>
      <w:r w:rsidRPr="00A80FF4">
        <w:rPr>
          <w:rFonts w:ascii="黑体" w:eastAsia="黑体" w:hAnsi="Times New Roman" w:cs="Times New Roman" w:hint="eastAsia"/>
          <w:sz w:val="32"/>
          <w:szCs w:val="32"/>
        </w:rPr>
        <w:lastRenderedPageBreak/>
        <w:t>附件</w:t>
      </w:r>
      <w:r w:rsidR="00657C62">
        <w:rPr>
          <w:rFonts w:ascii="黑体" w:eastAsia="黑体" w:hAnsi="Times New Roman" w:cs="Times New Roman" w:hint="eastAsia"/>
          <w:sz w:val="32"/>
          <w:szCs w:val="32"/>
        </w:rPr>
        <w:t>1</w:t>
      </w:r>
    </w:p>
    <w:p w:rsidR="00874AA1" w:rsidRPr="002420D4" w:rsidRDefault="00874AA1" w:rsidP="00C15EC6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2420D4">
        <w:rPr>
          <w:rFonts w:ascii="宋体" w:eastAsia="宋体" w:hAnsi="宋体" w:cs="Times New Roman"/>
          <w:b/>
          <w:bCs/>
          <w:sz w:val="36"/>
          <w:szCs w:val="36"/>
        </w:rPr>
        <w:t>申请投标企业资格申报表</w:t>
      </w:r>
      <w:r w:rsidR="00947B14">
        <w:rPr>
          <w:rFonts w:ascii="宋体" w:eastAsia="宋体" w:hAnsi="宋体" w:cs="Times New Roman" w:hint="eastAsia"/>
          <w:b/>
          <w:bCs/>
          <w:sz w:val="36"/>
          <w:szCs w:val="36"/>
        </w:rPr>
        <w:t xml:space="preserve"> </w:t>
      </w:r>
    </w:p>
    <w:p w:rsidR="0049299D" w:rsidRPr="00F85745" w:rsidRDefault="0049299D" w:rsidP="0075267A">
      <w:pPr>
        <w:rPr>
          <w:rFonts w:ascii="Times New Roman" w:eastAsia="仿宋_GB2312" w:hAnsi="Times New Roman" w:cs="Times New Roman"/>
        </w:rPr>
      </w:pPr>
    </w:p>
    <w:p w:rsidR="003A331B" w:rsidRPr="00F85745" w:rsidRDefault="00874AA1" w:rsidP="0075267A">
      <w:pPr>
        <w:rPr>
          <w:rFonts w:ascii="Times New Roman" w:eastAsia="仿宋_GB2312" w:hAnsi="Times New Roman" w:cs="Times New Roman"/>
        </w:rPr>
      </w:pPr>
      <w:r w:rsidRPr="00F85745">
        <w:rPr>
          <w:rFonts w:ascii="Times New Roman" w:eastAsia="仿宋_GB2312" w:hAnsi="Times New Roman" w:cs="Times New Roman"/>
        </w:rPr>
        <w:t>商品名称：</w:t>
      </w:r>
      <w:r w:rsidR="003A331B">
        <w:rPr>
          <w:rFonts w:ascii="Times New Roman" w:eastAsia="仿宋_GB2312" w:hAnsi="Times New Roman" w:cs="Times New Roman" w:hint="eastAsia"/>
        </w:rPr>
        <w:t xml:space="preserve">                                                                 </w:t>
      </w:r>
      <w:r w:rsidR="003A331B" w:rsidRPr="00F85745">
        <w:rPr>
          <w:rFonts w:ascii="Times New Roman" w:eastAsia="仿宋_GB2312" w:hAnsi="Times New Roman" w:cs="Times New Roman"/>
        </w:rPr>
        <w:t>数量单位：公斤</w:t>
      </w:r>
      <w:r w:rsidR="003A331B">
        <w:rPr>
          <w:rFonts w:ascii="Times New Roman" w:eastAsia="仿宋_GB2312" w:hAnsi="Times New Roman" w:cs="Times New Roman"/>
        </w:rPr>
        <w:t xml:space="preserve"> </w:t>
      </w:r>
      <w:r w:rsidR="003A331B">
        <w:rPr>
          <w:rFonts w:ascii="Times New Roman" w:eastAsia="仿宋_GB2312" w:hAnsi="Times New Roman" w:cs="Times New Roman" w:hint="eastAsia"/>
        </w:rPr>
        <w:t xml:space="preserve">  </w:t>
      </w:r>
      <w:r w:rsidR="003A331B">
        <w:rPr>
          <w:rFonts w:ascii="Times New Roman" w:eastAsia="仿宋_GB2312" w:hAnsi="Times New Roman" w:cs="Times New Roman" w:hint="eastAsia"/>
        </w:rPr>
        <w:t>供货</w:t>
      </w:r>
      <w:r w:rsidR="003A331B" w:rsidRPr="00F85745">
        <w:rPr>
          <w:rFonts w:ascii="Times New Roman" w:eastAsia="仿宋_GB2312" w:hAnsi="Times New Roman" w:cs="Times New Roman"/>
        </w:rPr>
        <w:t>金额单位：万元</w:t>
      </w:r>
      <w:r w:rsidR="003A331B">
        <w:rPr>
          <w:rFonts w:ascii="Times New Roman" w:eastAsia="仿宋_GB2312" w:hAnsi="Times New Roman" w:cs="Times New Roman" w:hint="eastAsia"/>
        </w:rPr>
        <w:t xml:space="preserve">  </w:t>
      </w:r>
      <w:r w:rsidR="003A331B">
        <w:rPr>
          <w:rFonts w:ascii="Times New Roman" w:eastAsia="仿宋_GB2312" w:hAnsi="Times New Roman" w:cs="Times New Roman"/>
        </w:rPr>
        <w:t xml:space="preserve"> </w:t>
      </w:r>
      <w:r w:rsidR="003A331B" w:rsidRPr="00F85745">
        <w:rPr>
          <w:rFonts w:ascii="Times New Roman" w:eastAsia="仿宋_GB2312" w:hAnsi="Times New Roman" w:cs="Times New Roman"/>
        </w:rPr>
        <w:t>出口金额单位：万美元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96"/>
        <w:gridCol w:w="6978"/>
      </w:tblGrid>
      <w:tr w:rsidR="003A331B" w:rsidTr="003A331B">
        <w:tc>
          <w:tcPr>
            <w:tcW w:w="7196" w:type="dxa"/>
          </w:tcPr>
          <w:p w:rsidR="003A331B" w:rsidRDefault="003A331B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企业名称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</w:tc>
        <w:tc>
          <w:tcPr>
            <w:tcW w:w="6978" w:type="dxa"/>
          </w:tcPr>
          <w:p w:rsidR="003A331B" w:rsidRDefault="003A331B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13</w:t>
            </w:r>
            <w:r w:rsidRPr="00F85745">
              <w:rPr>
                <w:rFonts w:ascii="Times New Roman" w:eastAsia="仿宋_GB2312" w:hAnsi="Times New Roman" w:cs="Times New Roman"/>
              </w:rPr>
              <w:t>位代码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</w:tc>
      </w:tr>
      <w:tr w:rsidR="003A331B" w:rsidTr="003A331B">
        <w:tc>
          <w:tcPr>
            <w:tcW w:w="7196" w:type="dxa"/>
          </w:tcPr>
          <w:p w:rsidR="003A331B" w:rsidRDefault="003A331B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商会会员证号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</w:tc>
        <w:tc>
          <w:tcPr>
            <w:tcW w:w="6978" w:type="dxa"/>
          </w:tcPr>
          <w:p w:rsidR="003A331B" w:rsidRDefault="003A331B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海关代码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1565"/>
        <w:gridCol w:w="1134"/>
        <w:gridCol w:w="1134"/>
        <w:gridCol w:w="1134"/>
        <w:gridCol w:w="1134"/>
        <w:gridCol w:w="1276"/>
        <w:gridCol w:w="1134"/>
        <w:gridCol w:w="1134"/>
        <w:gridCol w:w="1072"/>
        <w:gridCol w:w="1196"/>
        <w:gridCol w:w="1166"/>
      </w:tblGrid>
      <w:tr w:rsidR="00461984" w:rsidRPr="00F85745" w:rsidTr="003A331B">
        <w:trPr>
          <w:cantSplit/>
        </w:trPr>
        <w:tc>
          <w:tcPr>
            <w:tcW w:w="2660" w:type="dxa"/>
            <w:gridSpan w:val="2"/>
          </w:tcPr>
          <w:p w:rsidR="00874AA1" w:rsidRPr="00F85745" w:rsidRDefault="00874AA1" w:rsidP="0075267A">
            <w:pPr>
              <w:ind w:firstLineChars="100" w:firstLine="210"/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</w:t>
            </w:r>
            <w:r w:rsidR="0055636D">
              <w:rPr>
                <w:rFonts w:ascii="Times New Roman" w:eastAsia="仿宋_GB2312" w:hAnsi="Times New Roman" w:cs="Times New Roman" w:hint="eastAsia"/>
              </w:rPr>
              <w:t>6</w:t>
            </w:r>
            <w:r w:rsidRPr="00F85745">
              <w:rPr>
                <w:rFonts w:ascii="Times New Roman" w:eastAsia="仿宋_GB2312" w:hAnsi="Times New Roman" w:cs="Times New Roman"/>
              </w:rPr>
              <w:t>年该商品</w:t>
            </w:r>
          </w:p>
        </w:tc>
        <w:tc>
          <w:tcPr>
            <w:tcW w:w="2268" w:type="dxa"/>
            <w:gridSpan w:val="2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</w:t>
            </w:r>
            <w:r w:rsidR="0055636D">
              <w:rPr>
                <w:rFonts w:ascii="Times New Roman" w:eastAsia="仿宋_GB2312" w:hAnsi="Times New Roman" w:cs="Times New Roman" w:hint="eastAsia"/>
              </w:rPr>
              <w:t>7</w:t>
            </w:r>
            <w:r w:rsidRPr="00F85745">
              <w:rPr>
                <w:rFonts w:ascii="Times New Roman" w:eastAsia="仿宋_GB2312" w:hAnsi="Times New Roman" w:cs="Times New Roman"/>
              </w:rPr>
              <w:t>年该商品</w:t>
            </w:r>
          </w:p>
        </w:tc>
        <w:tc>
          <w:tcPr>
            <w:tcW w:w="2268" w:type="dxa"/>
            <w:gridSpan w:val="2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</w:t>
            </w:r>
            <w:r w:rsidR="0055636D">
              <w:rPr>
                <w:rFonts w:ascii="Times New Roman" w:eastAsia="仿宋_GB2312" w:hAnsi="Times New Roman" w:cs="Times New Roman" w:hint="eastAsia"/>
              </w:rPr>
              <w:t>8</w:t>
            </w:r>
            <w:r w:rsidRPr="00F85745">
              <w:rPr>
                <w:rFonts w:ascii="Times New Roman" w:eastAsia="仿宋_GB2312" w:hAnsi="Times New Roman" w:cs="Times New Roman"/>
              </w:rPr>
              <w:t>年</w:t>
            </w:r>
            <w:r w:rsidR="0049299D" w:rsidRPr="00F85745">
              <w:rPr>
                <w:rFonts w:ascii="Times New Roman" w:eastAsia="仿宋_GB2312" w:hAnsi="Times New Roman" w:cs="Times New Roman"/>
              </w:rPr>
              <w:t>1-9</w:t>
            </w:r>
            <w:r w:rsidR="00101509" w:rsidRPr="00F85745">
              <w:rPr>
                <w:rFonts w:ascii="Times New Roman" w:eastAsia="仿宋_GB2312" w:hAnsi="Times New Roman" w:cs="Times New Roman"/>
              </w:rPr>
              <w:t>月</w:t>
            </w:r>
            <w:r w:rsidRPr="00F85745">
              <w:rPr>
                <w:rFonts w:ascii="Times New Roman" w:eastAsia="仿宋_GB2312" w:hAnsi="Times New Roman" w:cs="Times New Roman"/>
              </w:rPr>
              <w:t>该商品</w:t>
            </w:r>
          </w:p>
        </w:tc>
        <w:tc>
          <w:tcPr>
            <w:tcW w:w="2410" w:type="dxa"/>
            <w:gridSpan w:val="2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</w:t>
            </w:r>
            <w:r w:rsidR="0055636D">
              <w:rPr>
                <w:rFonts w:ascii="Times New Roman" w:eastAsia="仿宋_GB2312" w:hAnsi="Times New Roman" w:cs="Times New Roman" w:hint="eastAsia"/>
              </w:rPr>
              <w:t>6</w:t>
            </w:r>
            <w:r w:rsidRPr="00F85745">
              <w:rPr>
                <w:rFonts w:ascii="Times New Roman" w:eastAsia="仿宋_GB2312" w:hAnsi="Times New Roman" w:cs="Times New Roman"/>
              </w:rPr>
              <w:t>年该商品</w:t>
            </w:r>
          </w:p>
        </w:tc>
        <w:tc>
          <w:tcPr>
            <w:tcW w:w="2206" w:type="dxa"/>
            <w:gridSpan w:val="2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</w:t>
            </w:r>
            <w:r w:rsidR="0055636D">
              <w:rPr>
                <w:rFonts w:ascii="Times New Roman" w:eastAsia="仿宋_GB2312" w:hAnsi="Times New Roman" w:cs="Times New Roman" w:hint="eastAsia"/>
              </w:rPr>
              <w:t>7</w:t>
            </w:r>
            <w:r w:rsidRPr="00F85745">
              <w:rPr>
                <w:rFonts w:ascii="Times New Roman" w:eastAsia="仿宋_GB2312" w:hAnsi="Times New Roman" w:cs="Times New Roman"/>
              </w:rPr>
              <w:t>年该商品</w:t>
            </w:r>
          </w:p>
        </w:tc>
        <w:tc>
          <w:tcPr>
            <w:tcW w:w="2362" w:type="dxa"/>
            <w:gridSpan w:val="2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201</w:t>
            </w:r>
            <w:r w:rsidR="0055636D">
              <w:rPr>
                <w:rFonts w:ascii="Times New Roman" w:eastAsia="仿宋_GB2312" w:hAnsi="Times New Roman" w:cs="Times New Roman" w:hint="eastAsia"/>
              </w:rPr>
              <w:t>8</w:t>
            </w:r>
            <w:r w:rsidRPr="00F85745">
              <w:rPr>
                <w:rFonts w:ascii="Times New Roman" w:eastAsia="仿宋_GB2312" w:hAnsi="Times New Roman" w:cs="Times New Roman"/>
              </w:rPr>
              <w:t>年</w:t>
            </w:r>
            <w:r w:rsidRPr="00F85745">
              <w:rPr>
                <w:rFonts w:ascii="Times New Roman" w:eastAsia="仿宋_GB2312" w:hAnsi="Times New Roman" w:cs="Times New Roman"/>
              </w:rPr>
              <w:t>1-</w:t>
            </w:r>
            <w:r w:rsidR="0049299D" w:rsidRPr="00F85745">
              <w:rPr>
                <w:rFonts w:ascii="Times New Roman" w:eastAsia="仿宋_GB2312" w:hAnsi="Times New Roman" w:cs="Times New Roman"/>
              </w:rPr>
              <w:t>9</w:t>
            </w:r>
            <w:r w:rsidR="00101509" w:rsidRPr="00F85745">
              <w:rPr>
                <w:rFonts w:ascii="Times New Roman" w:eastAsia="仿宋_GB2312" w:hAnsi="Times New Roman" w:cs="Times New Roman"/>
              </w:rPr>
              <w:t>月</w:t>
            </w:r>
            <w:r w:rsidRPr="00F85745">
              <w:rPr>
                <w:rFonts w:ascii="Times New Roman" w:eastAsia="仿宋_GB2312" w:hAnsi="Times New Roman" w:cs="Times New Roman"/>
              </w:rPr>
              <w:t>该商品</w:t>
            </w:r>
          </w:p>
        </w:tc>
      </w:tr>
      <w:tr w:rsidR="004C05D7" w:rsidRPr="00F85745" w:rsidTr="003A331B">
        <w:trPr>
          <w:cantSplit/>
        </w:trPr>
        <w:tc>
          <w:tcPr>
            <w:tcW w:w="1095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出口数量</w:t>
            </w:r>
          </w:p>
        </w:tc>
        <w:tc>
          <w:tcPr>
            <w:tcW w:w="1565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出口金额</w:t>
            </w:r>
          </w:p>
        </w:tc>
        <w:tc>
          <w:tcPr>
            <w:tcW w:w="1134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出口数量</w:t>
            </w:r>
          </w:p>
        </w:tc>
        <w:tc>
          <w:tcPr>
            <w:tcW w:w="1134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出口金额</w:t>
            </w:r>
          </w:p>
        </w:tc>
        <w:tc>
          <w:tcPr>
            <w:tcW w:w="1134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出口数量</w:t>
            </w:r>
          </w:p>
        </w:tc>
        <w:tc>
          <w:tcPr>
            <w:tcW w:w="1134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出口金额</w:t>
            </w:r>
          </w:p>
        </w:tc>
        <w:tc>
          <w:tcPr>
            <w:tcW w:w="1276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</w:t>
            </w:r>
            <w:r w:rsidR="00101509" w:rsidRPr="00F85745">
              <w:rPr>
                <w:rFonts w:ascii="Times New Roman" w:eastAsia="仿宋_GB2312" w:hAnsi="Times New Roman" w:cs="Times New Roman"/>
              </w:rPr>
              <w:t>数量</w:t>
            </w:r>
          </w:p>
        </w:tc>
        <w:tc>
          <w:tcPr>
            <w:tcW w:w="1134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供货金额</w:t>
            </w:r>
          </w:p>
        </w:tc>
        <w:tc>
          <w:tcPr>
            <w:tcW w:w="1134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供货数量</w:t>
            </w:r>
          </w:p>
        </w:tc>
        <w:tc>
          <w:tcPr>
            <w:tcW w:w="1072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供货金额</w:t>
            </w:r>
          </w:p>
        </w:tc>
        <w:tc>
          <w:tcPr>
            <w:tcW w:w="1196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供货数量</w:t>
            </w:r>
          </w:p>
        </w:tc>
        <w:tc>
          <w:tcPr>
            <w:tcW w:w="1166" w:type="dxa"/>
            <w:vAlign w:val="center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供货金额</w:t>
            </w:r>
          </w:p>
        </w:tc>
      </w:tr>
      <w:tr w:rsidR="004C05D7" w:rsidRPr="00F85745" w:rsidTr="003A331B">
        <w:trPr>
          <w:cantSplit/>
        </w:trPr>
        <w:tc>
          <w:tcPr>
            <w:tcW w:w="1095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5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2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6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6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C05D7" w:rsidRPr="00F85745" w:rsidTr="003A331B">
        <w:trPr>
          <w:cantSplit/>
        </w:trPr>
        <w:tc>
          <w:tcPr>
            <w:tcW w:w="1095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5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2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6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6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C05D7" w:rsidRPr="00F85745" w:rsidTr="003A331B">
        <w:trPr>
          <w:cantSplit/>
        </w:trPr>
        <w:tc>
          <w:tcPr>
            <w:tcW w:w="1095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5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2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6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6" w:type="dxa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C05D7" w:rsidRPr="00F85745" w:rsidTr="00CB086E">
        <w:trPr>
          <w:cantSplit/>
        </w:trPr>
        <w:tc>
          <w:tcPr>
            <w:tcW w:w="2660" w:type="dxa"/>
            <w:gridSpan w:val="2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企业填表人</w:t>
            </w:r>
          </w:p>
        </w:tc>
        <w:tc>
          <w:tcPr>
            <w:tcW w:w="5812" w:type="dxa"/>
            <w:gridSpan w:val="5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702" w:type="dxa"/>
            <w:gridSpan w:val="5"/>
            <w:vMerge w:val="restart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企业公章</w:t>
            </w:r>
          </w:p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 xml:space="preserve">                                    </w:t>
            </w:r>
            <w:r w:rsidRPr="00F85745">
              <w:rPr>
                <w:rFonts w:ascii="Times New Roman" w:eastAsia="仿宋_GB2312" w:hAnsi="Times New Roman" w:cs="Times New Roman"/>
              </w:rPr>
              <w:t>年</w:t>
            </w:r>
            <w:r w:rsidRPr="00F85745">
              <w:rPr>
                <w:rFonts w:ascii="Times New Roman" w:eastAsia="仿宋_GB2312" w:hAnsi="Times New Roman" w:cs="Times New Roman"/>
              </w:rPr>
              <w:t xml:space="preserve">  </w:t>
            </w:r>
            <w:r w:rsidRPr="00F85745">
              <w:rPr>
                <w:rFonts w:ascii="Times New Roman" w:eastAsia="仿宋_GB2312" w:hAnsi="Times New Roman" w:cs="Times New Roman"/>
              </w:rPr>
              <w:t>月</w:t>
            </w:r>
            <w:r w:rsidRPr="00F85745">
              <w:rPr>
                <w:rFonts w:ascii="Times New Roman" w:eastAsia="仿宋_GB2312" w:hAnsi="Times New Roman" w:cs="Times New Roman"/>
              </w:rPr>
              <w:t xml:space="preserve">  </w:t>
            </w:r>
            <w:r w:rsidRPr="00F8574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4C05D7" w:rsidRPr="00F85745" w:rsidTr="00CB086E">
        <w:trPr>
          <w:cantSplit/>
        </w:trPr>
        <w:tc>
          <w:tcPr>
            <w:tcW w:w="2660" w:type="dxa"/>
            <w:gridSpan w:val="2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5812" w:type="dxa"/>
            <w:gridSpan w:val="5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702" w:type="dxa"/>
            <w:gridSpan w:val="5"/>
            <w:vMerge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C05D7" w:rsidRPr="00F85745" w:rsidTr="00CB086E">
        <w:trPr>
          <w:cantSplit/>
        </w:trPr>
        <w:tc>
          <w:tcPr>
            <w:tcW w:w="2660" w:type="dxa"/>
            <w:gridSpan w:val="2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  <w:r w:rsidRPr="00F85745">
              <w:rPr>
                <w:rFonts w:ascii="Times New Roman" w:eastAsia="仿宋_GB2312" w:hAnsi="Times New Roman" w:cs="Times New Roman"/>
              </w:rPr>
              <w:t>企业地址</w:t>
            </w:r>
          </w:p>
        </w:tc>
        <w:tc>
          <w:tcPr>
            <w:tcW w:w="5812" w:type="dxa"/>
            <w:gridSpan w:val="5"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702" w:type="dxa"/>
            <w:gridSpan w:val="5"/>
            <w:vMerge/>
          </w:tcPr>
          <w:p w:rsidR="00874AA1" w:rsidRPr="00F85745" w:rsidRDefault="00874AA1" w:rsidP="0075267A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:rsidR="00874AA1" w:rsidRPr="00F85745" w:rsidRDefault="00874AA1" w:rsidP="003451F5">
      <w:pPr>
        <w:rPr>
          <w:rFonts w:ascii="Times New Roman" w:eastAsia="仿宋_GB2312" w:hAnsi="Times New Roman" w:cs="Times New Roman"/>
        </w:rPr>
      </w:pPr>
      <w:r w:rsidRPr="00F85745">
        <w:rPr>
          <w:rFonts w:ascii="Times New Roman" w:eastAsia="仿宋_GB2312" w:hAnsi="Times New Roman" w:cs="Times New Roman"/>
        </w:rPr>
        <w:t>注：</w:t>
      </w:r>
      <w:r w:rsidR="003451F5">
        <w:rPr>
          <w:rFonts w:ascii="Times New Roman" w:eastAsia="仿宋_GB2312" w:hAnsi="Times New Roman" w:cs="Times New Roman" w:hint="eastAsia"/>
        </w:rPr>
        <w:t>1</w:t>
      </w:r>
      <w:r w:rsidR="00C15EC6">
        <w:rPr>
          <w:rFonts w:ascii="Times New Roman" w:eastAsia="仿宋_GB2312" w:hAnsi="Times New Roman" w:cs="Times New Roman" w:hint="eastAsia"/>
        </w:rPr>
        <w:t>.</w:t>
      </w:r>
      <w:r w:rsidRPr="00F85745">
        <w:rPr>
          <w:rFonts w:ascii="Times New Roman" w:eastAsia="仿宋_GB2312" w:hAnsi="Times New Roman" w:cs="Times New Roman"/>
        </w:rPr>
        <w:t>出口数量、出口金额须按海关统计填写。</w:t>
      </w:r>
    </w:p>
    <w:p w:rsidR="00874AA1" w:rsidRPr="00F85745" w:rsidRDefault="003451F5" w:rsidP="003451F5">
      <w:pPr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2</w:t>
      </w:r>
      <w:r w:rsidR="00C15EC6">
        <w:rPr>
          <w:rFonts w:ascii="Times New Roman" w:eastAsia="仿宋_GB2312" w:hAnsi="Times New Roman" w:cs="Times New Roman" w:hint="eastAsia"/>
        </w:rPr>
        <w:t>.</w:t>
      </w:r>
      <w:r w:rsidR="00874AA1" w:rsidRPr="00F85745">
        <w:rPr>
          <w:rFonts w:ascii="Times New Roman" w:eastAsia="仿宋_GB2312" w:hAnsi="Times New Roman" w:cs="Times New Roman"/>
        </w:rPr>
        <w:t>出口供货数量、供货金额须凭增值税发票填写。</w:t>
      </w:r>
    </w:p>
    <w:p w:rsidR="008D1A02" w:rsidRPr="00F85745" w:rsidRDefault="008D1A02" w:rsidP="0075267A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8D1A02" w:rsidRPr="00F85745" w:rsidRDefault="008D1A02" w:rsidP="0075267A">
      <w:pPr>
        <w:rPr>
          <w:rFonts w:ascii="Times New Roman" w:eastAsia="仿宋_GB2312" w:hAnsi="Times New Roman" w:cs="Times New Roman"/>
          <w:sz w:val="32"/>
          <w:szCs w:val="32"/>
        </w:rPr>
        <w:sectPr w:rsidR="008D1A02" w:rsidRPr="00F85745" w:rsidSect="008D1A02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66AF9" w:rsidRPr="00A80FF4" w:rsidRDefault="00874AA1" w:rsidP="0075267A">
      <w:pPr>
        <w:rPr>
          <w:rFonts w:ascii="黑体" w:eastAsia="黑体" w:hAnsi="Times New Roman" w:cs="Times New Roman"/>
          <w:sz w:val="32"/>
          <w:szCs w:val="32"/>
        </w:rPr>
      </w:pPr>
      <w:r w:rsidRPr="00A80FF4">
        <w:rPr>
          <w:rFonts w:ascii="黑体" w:eastAsia="黑体" w:hAnsi="Times New Roman" w:cs="Times New Roman" w:hint="eastAsia"/>
          <w:sz w:val="32"/>
          <w:szCs w:val="32"/>
        </w:rPr>
        <w:lastRenderedPageBreak/>
        <w:t>附件</w:t>
      </w:r>
      <w:r w:rsidR="003A331B">
        <w:rPr>
          <w:rFonts w:ascii="黑体" w:eastAsia="黑体" w:hAnsi="Times New Roman" w:cs="Times New Roman" w:hint="eastAsia"/>
          <w:sz w:val="32"/>
          <w:szCs w:val="32"/>
        </w:rPr>
        <w:t>2</w:t>
      </w:r>
    </w:p>
    <w:p w:rsidR="00046FA2" w:rsidRPr="002420D4" w:rsidRDefault="0013659C" w:rsidP="0075267A">
      <w:pPr>
        <w:ind w:firstLineChars="200" w:firstLine="723"/>
        <w:rPr>
          <w:rFonts w:ascii="宋体" w:eastAsia="宋体" w:hAnsi="宋体" w:cs="Times New Roman"/>
          <w:b/>
          <w:color w:val="333333"/>
          <w:sz w:val="36"/>
          <w:szCs w:val="36"/>
        </w:rPr>
      </w:pPr>
      <w:r w:rsidRPr="002420D4">
        <w:rPr>
          <w:rFonts w:ascii="宋体" w:eastAsia="宋体" w:hAnsi="宋体" w:cs="Times New Roman"/>
          <w:b/>
          <w:color w:val="333333"/>
          <w:sz w:val="36"/>
          <w:szCs w:val="36"/>
        </w:rPr>
        <w:t>201</w:t>
      </w:r>
      <w:r w:rsidR="0055636D">
        <w:rPr>
          <w:rFonts w:ascii="宋体" w:eastAsia="宋体" w:hAnsi="宋体" w:cs="Times New Roman" w:hint="eastAsia"/>
          <w:b/>
          <w:color w:val="333333"/>
          <w:sz w:val="36"/>
          <w:szCs w:val="36"/>
        </w:rPr>
        <w:t>9</w:t>
      </w:r>
      <w:r w:rsidRPr="002420D4">
        <w:rPr>
          <w:rFonts w:ascii="宋体" w:eastAsia="宋体" w:hAnsi="宋体" w:cs="Times New Roman"/>
          <w:b/>
          <w:color w:val="333333"/>
          <w:sz w:val="36"/>
          <w:szCs w:val="36"/>
        </w:rPr>
        <w:t>年</w:t>
      </w:r>
      <w:r w:rsidR="00661049" w:rsidRPr="002420D4">
        <w:rPr>
          <w:rFonts w:ascii="宋体" w:eastAsia="宋体" w:hAnsi="宋体" w:cs="Times New Roman"/>
          <w:b/>
          <w:color w:val="333333"/>
          <w:sz w:val="36"/>
          <w:szCs w:val="36"/>
        </w:rPr>
        <w:t>度</w:t>
      </w:r>
      <w:r w:rsidRPr="002420D4">
        <w:rPr>
          <w:rFonts w:ascii="宋体" w:eastAsia="宋体" w:hAnsi="宋体" w:cs="Times New Roman"/>
          <w:b/>
          <w:color w:val="333333"/>
          <w:sz w:val="36"/>
          <w:szCs w:val="36"/>
        </w:rPr>
        <w:t>甘草</w:t>
      </w:r>
      <w:r w:rsidR="00640380">
        <w:rPr>
          <w:rFonts w:ascii="宋体" w:eastAsia="宋体" w:hAnsi="宋体" w:cs="Times New Roman"/>
          <w:b/>
          <w:color w:val="333333"/>
          <w:sz w:val="36"/>
          <w:szCs w:val="36"/>
        </w:rPr>
        <w:t>及甘草制品</w:t>
      </w:r>
      <w:r w:rsidRPr="002420D4">
        <w:rPr>
          <w:rFonts w:ascii="宋体" w:eastAsia="宋体" w:hAnsi="宋体" w:cs="Times New Roman"/>
          <w:b/>
          <w:color w:val="333333"/>
          <w:sz w:val="36"/>
          <w:szCs w:val="36"/>
        </w:rPr>
        <w:t>出口配额</w:t>
      </w:r>
      <w:r w:rsidR="00046FA2" w:rsidRPr="002420D4">
        <w:rPr>
          <w:rFonts w:ascii="宋体" w:eastAsia="宋体" w:hAnsi="宋体" w:cs="Times New Roman"/>
          <w:b/>
          <w:color w:val="333333"/>
          <w:sz w:val="36"/>
          <w:szCs w:val="36"/>
        </w:rPr>
        <w:t>投标数量</w:t>
      </w:r>
    </w:p>
    <w:p w:rsidR="0013659C" w:rsidRPr="002420D4" w:rsidRDefault="00046FA2" w:rsidP="00C15EC6">
      <w:pPr>
        <w:ind w:firstLineChars="200" w:firstLine="723"/>
        <w:jc w:val="center"/>
        <w:rPr>
          <w:rFonts w:ascii="宋体" w:eastAsia="宋体" w:hAnsi="宋体" w:cs="Times New Roman"/>
          <w:b/>
          <w:color w:val="333333"/>
          <w:sz w:val="36"/>
          <w:szCs w:val="36"/>
        </w:rPr>
      </w:pPr>
      <w:r w:rsidRPr="002420D4">
        <w:rPr>
          <w:rFonts w:ascii="宋体" w:eastAsia="宋体" w:hAnsi="宋体" w:cs="Times New Roman"/>
          <w:b/>
          <w:color w:val="333333"/>
          <w:sz w:val="36"/>
          <w:szCs w:val="36"/>
        </w:rPr>
        <w:t>分档标准</w:t>
      </w:r>
    </w:p>
    <w:p w:rsidR="00046FA2" w:rsidRPr="001078A3" w:rsidRDefault="00046FA2" w:rsidP="0075267A">
      <w:pPr>
        <w:ind w:firstLineChars="200" w:firstLine="640"/>
        <w:rPr>
          <w:rFonts w:ascii="黑体" w:eastAsia="黑体" w:hAnsi="Times New Roman" w:cs="Times New Roman"/>
          <w:color w:val="333333"/>
          <w:sz w:val="32"/>
          <w:szCs w:val="32"/>
        </w:rPr>
      </w:pPr>
      <w:r w:rsidRPr="001078A3">
        <w:rPr>
          <w:rFonts w:ascii="黑体" w:eastAsia="黑体" w:hAnsi="Times New Roman" w:cs="Times New Roman" w:hint="eastAsia"/>
          <w:color w:val="333333"/>
          <w:sz w:val="32"/>
          <w:szCs w:val="32"/>
        </w:rPr>
        <w:t>一、第一次投标</w:t>
      </w:r>
    </w:p>
    <w:p w:rsidR="00046FA2" w:rsidRPr="00F85745" w:rsidRDefault="00046FA2" w:rsidP="0075267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>最高投标量按企业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201</w:t>
      </w:r>
      <w:r w:rsidR="0055636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年－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201</w:t>
      </w:r>
      <w:r w:rsidR="0055636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年平均出口数量分档，具体分档标准如下：</w:t>
      </w:r>
    </w:p>
    <w:p w:rsidR="00046FA2" w:rsidRPr="001078A3" w:rsidRDefault="00046FA2" w:rsidP="0075267A">
      <w:pPr>
        <w:rPr>
          <w:rFonts w:ascii="楷体_GB2312" w:eastAsia="楷体_GB2312" w:hAnsi="Times New Roman" w:cs="Times New Roman"/>
          <w:b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（一）鲜或干的甘草</w:t>
      </w:r>
      <w:r w:rsidR="001078A3"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</w:p>
    <w:tbl>
      <w:tblPr>
        <w:tblStyle w:val="a7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046FA2" w:rsidRPr="00F85745" w:rsidTr="00046FA2">
        <w:tc>
          <w:tcPr>
            <w:tcW w:w="4786" w:type="dxa"/>
          </w:tcPr>
          <w:p w:rsidR="00046FA2" w:rsidRPr="00F85745" w:rsidRDefault="0055636D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 w:rsidR="00046FA2"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="00046FA2"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046FA2" w:rsidRPr="00F85745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046FA2" w:rsidRPr="00F85745" w:rsidTr="00046FA2">
        <w:tc>
          <w:tcPr>
            <w:tcW w:w="4786" w:type="dxa"/>
          </w:tcPr>
          <w:p w:rsidR="00046FA2" w:rsidRPr="00EC60BE" w:rsidRDefault="001519B4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4A1D49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4A1D49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1519B4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="004A1D49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="001519B4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="001519B4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F85745" w:rsidTr="00046FA2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="001519B4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4A1D49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="004A1D49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F85745" w:rsidTr="00046FA2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="004A1D49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70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F85745" w:rsidTr="00046FA2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046FA2" w:rsidRPr="00F85745" w:rsidRDefault="00046FA2" w:rsidP="0075267A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1078A3">
        <w:rPr>
          <w:rFonts w:ascii="楷体_GB2312" w:eastAsia="楷体_GB2312" w:hAnsi="Times New Roman" w:cs="Times New Roman"/>
          <w:b/>
          <w:sz w:val="32"/>
          <w:szCs w:val="32"/>
        </w:rPr>
        <w:t>（二）甘草液汁及浸膏</w:t>
      </w:r>
      <w:r w:rsidR="001078A3"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</w:p>
    <w:tbl>
      <w:tblPr>
        <w:tblStyle w:val="a7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046FA2" w:rsidRPr="00F85745" w:rsidTr="00E108AF">
        <w:tc>
          <w:tcPr>
            <w:tcW w:w="4786" w:type="dxa"/>
          </w:tcPr>
          <w:p w:rsidR="00046FA2" w:rsidRPr="00F85745" w:rsidRDefault="0055636D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 w:rsidR="00046FA2"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="00046FA2"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046FA2" w:rsidRPr="00F85745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046FA2" w:rsidRPr="00F85745" w:rsidTr="00E108AF">
        <w:tc>
          <w:tcPr>
            <w:tcW w:w="4786" w:type="dxa"/>
          </w:tcPr>
          <w:p w:rsidR="00046FA2" w:rsidRPr="00F85745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F85745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150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F85745" w:rsidTr="00E108AF">
        <w:tc>
          <w:tcPr>
            <w:tcW w:w="4786" w:type="dxa"/>
          </w:tcPr>
          <w:p w:rsidR="00046FA2" w:rsidRPr="00F85745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F85745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100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F85745" w:rsidTr="00E108AF">
        <w:tc>
          <w:tcPr>
            <w:tcW w:w="4786" w:type="dxa"/>
          </w:tcPr>
          <w:p w:rsidR="00046FA2" w:rsidRPr="00F85745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046FA2" w:rsidRPr="00F85745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30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046FA2" w:rsidRPr="00F85745" w:rsidRDefault="00046FA2" w:rsidP="0075267A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1078A3">
        <w:rPr>
          <w:rFonts w:ascii="楷体_GB2312" w:eastAsia="楷体_GB2312" w:hAnsi="Times New Roman" w:cs="Times New Roman"/>
          <w:b/>
          <w:sz w:val="32"/>
          <w:szCs w:val="32"/>
        </w:rPr>
        <w:t>（三）甘草酸粉、甘草酸盐类、甘草</w:t>
      </w:r>
      <w:proofErr w:type="gramStart"/>
      <w:r w:rsidRPr="001078A3">
        <w:rPr>
          <w:rFonts w:ascii="楷体_GB2312" w:eastAsia="楷体_GB2312" w:hAnsi="Times New Roman" w:cs="Times New Roman"/>
          <w:b/>
          <w:sz w:val="32"/>
          <w:szCs w:val="32"/>
        </w:rPr>
        <w:t>次酸及其</w:t>
      </w:r>
      <w:proofErr w:type="gramEnd"/>
      <w:r w:rsidRPr="001078A3">
        <w:rPr>
          <w:rFonts w:ascii="楷体_GB2312" w:eastAsia="楷体_GB2312" w:hAnsi="Times New Roman" w:cs="Times New Roman"/>
          <w:b/>
          <w:sz w:val="32"/>
          <w:szCs w:val="32"/>
        </w:rPr>
        <w:t>衍生物</w:t>
      </w:r>
      <w:r w:rsidR="001078A3"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</w:p>
    <w:tbl>
      <w:tblPr>
        <w:tblStyle w:val="a7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046FA2" w:rsidRPr="00F85745" w:rsidTr="00E108AF">
        <w:tc>
          <w:tcPr>
            <w:tcW w:w="4786" w:type="dxa"/>
          </w:tcPr>
          <w:p w:rsidR="00046FA2" w:rsidRPr="00F85745" w:rsidRDefault="0055636D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 w:rsidR="00046FA2"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="00046FA2"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046FA2" w:rsidRPr="00F85745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="006E7854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70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15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046FA2" w:rsidRPr="001078A3" w:rsidRDefault="00046FA2" w:rsidP="0075267A">
      <w:pPr>
        <w:ind w:firstLineChars="200" w:firstLine="640"/>
        <w:rPr>
          <w:rFonts w:ascii="黑体" w:eastAsia="黑体" w:hAnsi="Times New Roman" w:cs="Times New Roman"/>
          <w:color w:val="333333"/>
          <w:sz w:val="32"/>
          <w:szCs w:val="32"/>
        </w:rPr>
      </w:pPr>
      <w:r w:rsidRPr="001078A3">
        <w:rPr>
          <w:rFonts w:ascii="黑体" w:eastAsia="黑体" w:hAnsi="Times New Roman" w:cs="Times New Roman"/>
          <w:color w:val="333333"/>
          <w:sz w:val="32"/>
          <w:szCs w:val="32"/>
        </w:rPr>
        <w:lastRenderedPageBreak/>
        <w:t>二、第二次投标</w:t>
      </w:r>
    </w:p>
    <w:p w:rsidR="00046FA2" w:rsidRPr="00EC60BE" w:rsidRDefault="00046FA2" w:rsidP="0075267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60BE">
        <w:rPr>
          <w:rFonts w:ascii="Times New Roman" w:eastAsia="仿宋_GB2312" w:hAnsi="Times New Roman" w:cs="Times New Roman"/>
          <w:sz w:val="32"/>
          <w:szCs w:val="32"/>
        </w:rPr>
        <w:t>最高投标量按企业</w:t>
      </w:r>
      <w:r w:rsidR="0055636D" w:rsidRPr="00F85745">
        <w:rPr>
          <w:rFonts w:ascii="Times New Roman" w:eastAsia="仿宋_GB2312" w:hAnsi="Times New Roman" w:cs="Times New Roman"/>
          <w:sz w:val="32"/>
          <w:szCs w:val="32"/>
        </w:rPr>
        <w:t>201</w:t>
      </w:r>
      <w:r w:rsidR="0055636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5636D" w:rsidRPr="00F85745">
        <w:rPr>
          <w:rFonts w:ascii="Times New Roman" w:eastAsia="仿宋_GB2312" w:hAnsi="Times New Roman" w:cs="Times New Roman"/>
          <w:sz w:val="32"/>
          <w:szCs w:val="32"/>
        </w:rPr>
        <w:t>年－</w:t>
      </w:r>
      <w:r w:rsidR="0055636D" w:rsidRPr="00F85745">
        <w:rPr>
          <w:rFonts w:ascii="Times New Roman" w:eastAsia="仿宋_GB2312" w:hAnsi="Times New Roman" w:cs="Times New Roman"/>
          <w:sz w:val="32"/>
          <w:szCs w:val="32"/>
        </w:rPr>
        <w:t>201</w:t>
      </w:r>
      <w:r w:rsidR="0055636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EC60BE">
        <w:rPr>
          <w:rFonts w:ascii="Times New Roman" w:eastAsia="仿宋_GB2312" w:hAnsi="Times New Roman" w:cs="Times New Roman"/>
          <w:sz w:val="32"/>
          <w:szCs w:val="32"/>
        </w:rPr>
        <w:t>年平均出口数量分档，具体分档标准如下：</w:t>
      </w:r>
    </w:p>
    <w:p w:rsidR="00046FA2" w:rsidRPr="001078A3" w:rsidRDefault="00046FA2" w:rsidP="0075267A">
      <w:pPr>
        <w:rPr>
          <w:rFonts w:ascii="楷体_GB2312" w:eastAsia="楷体_GB2312" w:hAnsi="Times New Roman" w:cs="Times New Roman"/>
          <w:b/>
          <w:sz w:val="32"/>
          <w:szCs w:val="32"/>
        </w:rPr>
      </w:pPr>
      <w:r w:rsidRPr="00EC60BE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（一）鲜或干的甘草</w:t>
      </w:r>
      <w:r w:rsidR="001078A3"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</w:p>
    <w:tbl>
      <w:tblPr>
        <w:tblStyle w:val="a7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046FA2" w:rsidRPr="00EC60BE" w:rsidTr="00E108AF">
        <w:tc>
          <w:tcPr>
            <w:tcW w:w="4786" w:type="dxa"/>
          </w:tcPr>
          <w:p w:rsidR="00046FA2" w:rsidRPr="00EC60BE" w:rsidRDefault="0055636D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1519B4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4A1D49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4A1D49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="006E7854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="001519B4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4A1D49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="006E7854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100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="00D35FB8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046FA2" w:rsidRPr="00EC60BE" w:rsidRDefault="00D35FB8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046FA2" w:rsidRPr="001078A3" w:rsidRDefault="00046FA2" w:rsidP="0075267A">
      <w:pPr>
        <w:rPr>
          <w:rFonts w:ascii="楷体_GB2312" w:eastAsia="楷体_GB2312" w:hAnsi="Times New Roman" w:cs="Times New Roman"/>
          <w:b/>
          <w:sz w:val="32"/>
          <w:szCs w:val="32"/>
        </w:rPr>
      </w:pPr>
      <w:r w:rsidRPr="00EC60BE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1078A3">
        <w:rPr>
          <w:rFonts w:ascii="楷体_GB2312" w:eastAsia="楷体_GB2312" w:hAnsi="Times New Roman" w:cs="Times New Roman" w:hint="eastAsia"/>
          <w:sz w:val="32"/>
          <w:szCs w:val="32"/>
        </w:rPr>
        <w:t xml:space="preserve">　</w:t>
      </w:r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（二）甘草液汁及浸膏</w:t>
      </w:r>
      <w:r w:rsidR="001078A3"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</w:p>
    <w:tbl>
      <w:tblPr>
        <w:tblStyle w:val="a7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046FA2" w:rsidRPr="00EC60BE" w:rsidTr="00E108AF">
        <w:tc>
          <w:tcPr>
            <w:tcW w:w="4786" w:type="dxa"/>
          </w:tcPr>
          <w:p w:rsidR="00046FA2" w:rsidRPr="00EC60BE" w:rsidRDefault="0055636D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="006E7854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70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="006E7854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  <w:r w:rsidR="00D35FB8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046FA2" w:rsidRPr="001078A3" w:rsidRDefault="00046FA2" w:rsidP="0075267A">
      <w:pPr>
        <w:rPr>
          <w:rFonts w:ascii="楷体_GB2312" w:eastAsia="楷体_GB2312" w:hAnsi="Times New Roman" w:cs="Times New Roman"/>
          <w:b/>
          <w:sz w:val="32"/>
          <w:szCs w:val="32"/>
        </w:rPr>
      </w:pPr>
      <w:r w:rsidRPr="00EC60BE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（三）甘草酸粉、甘草酸盐类、甘草</w:t>
      </w:r>
      <w:proofErr w:type="gramStart"/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次酸及其</w:t>
      </w:r>
      <w:proofErr w:type="gramEnd"/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衍生物</w:t>
      </w:r>
      <w:r w:rsidR="001078A3"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</w:p>
    <w:tbl>
      <w:tblPr>
        <w:tblStyle w:val="a7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046FA2" w:rsidRPr="00EC60BE" w:rsidTr="00E108AF">
        <w:tc>
          <w:tcPr>
            <w:tcW w:w="4786" w:type="dxa"/>
          </w:tcPr>
          <w:p w:rsidR="00046FA2" w:rsidRPr="00EC60BE" w:rsidRDefault="0055636D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D35FB8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046FA2" w:rsidRPr="00EC60BE" w:rsidRDefault="00D35FB8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046FA2" w:rsidRPr="00EC60BE" w:rsidTr="00E108AF">
        <w:tc>
          <w:tcPr>
            <w:tcW w:w="4786" w:type="dxa"/>
          </w:tcPr>
          <w:p w:rsidR="00046FA2" w:rsidRPr="00EC60BE" w:rsidRDefault="00046FA2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046FA2" w:rsidRPr="00EC60BE" w:rsidRDefault="00D35FB8" w:rsidP="007526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="00046FA2"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7B037C" w:rsidRPr="001078A3" w:rsidRDefault="007B037C" w:rsidP="0075267A">
      <w:pPr>
        <w:ind w:firstLineChars="200" w:firstLine="640"/>
        <w:rPr>
          <w:rFonts w:ascii="黑体" w:eastAsia="黑体" w:hAnsi="Times New Roman" w:cs="Times New Roman"/>
          <w:color w:val="333333"/>
          <w:sz w:val="32"/>
          <w:szCs w:val="32"/>
        </w:rPr>
      </w:pPr>
      <w:r w:rsidRPr="001078A3">
        <w:rPr>
          <w:rFonts w:ascii="黑体" w:eastAsia="黑体" w:hAnsi="Times New Roman" w:cs="Times New Roman"/>
          <w:color w:val="333333"/>
          <w:sz w:val="32"/>
          <w:szCs w:val="32"/>
        </w:rPr>
        <w:t>三、特别说明</w:t>
      </w:r>
    </w:p>
    <w:p w:rsidR="00046FA2" w:rsidRPr="00F85745" w:rsidRDefault="007B037C" w:rsidP="0075267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>对于</w:t>
      </w:r>
      <w:r w:rsidR="00046FA2" w:rsidRPr="00F85745">
        <w:rPr>
          <w:rFonts w:ascii="Times New Roman" w:eastAsia="仿宋_GB2312" w:hAnsi="Times New Roman" w:cs="Times New Roman"/>
          <w:sz w:val="32"/>
          <w:szCs w:val="32"/>
        </w:rPr>
        <w:t>进口甘草企业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，以</w:t>
      </w:r>
      <w:r w:rsidR="00046FA2" w:rsidRPr="00F85745">
        <w:rPr>
          <w:rFonts w:ascii="Times New Roman" w:eastAsia="仿宋_GB2312" w:hAnsi="Times New Roman" w:cs="Times New Roman"/>
          <w:sz w:val="32"/>
          <w:szCs w:val="32"/>
        </w:rPr>
        <w:t>上年进口甘草总量（一般贸易）乘以</w:t>
      </w:r>
      <w:r w:rsidR="00EC60BE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046FA2" w:rsidRPr="00F85745">
        <w:rPr>
          <w:rFonts w:ascii="Times New Roman" w:eastAsia="仿宋_GB2312" w:hAnsi="Times New Roman" w:cs="Times New Roman"/>
          <w:sz w:val="32"/>
          <w:szCs w:val="32"/>
        </w:rPr>
        <w:t>%</w:t>
      </w:r>
      <w:r w:rsidR="00046FA2" w:rsidRPr="00F85745">
        <w:rPr>
          <w:rFonts w:ascii="Times New Roman" w:eastAsia="仿宋_GB2312" w:hAnsi="Times New Roman" w:cs="Times New Roman"/>
          <w:sz w:val="32"/>
          <w:szCs w:val="32"/>
        </w:rPr>
        <w:t>，增加该企业投标量。增加的投标量可以由本企业</w:t>
      </w:r>
      <w:r w:rsidR="00046FA2" w:rsidRPr="00F85745">
        <w:rPr>
          <w:rFonts w:ascii="Times New Roman" w:eastAsia="仿宋_GB2312" w:hAnsi="Times New Roman" w:cs="Times New Roman"/>
          <w:sz w:val="32"/>
          <w:szCs w:val="32"/>
        </w:rPr>
        <w:lastRenderedPageBreak/>
        <w:t>选定增加在其具有投标资格的品种，在第二次招标中予以奖励。配额管理办法参照《出口商品配额招标办法》执行。</w:t>
      </w:r>
    </w:p>
    <w:p w:rsidR="00046FA2" w:rsidRDefault="00046FA2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592E" w:rsidRDefault="00DC592E" w:rsidP="00DC592E">
      <w:pPr>
        <w:rPr>
          <w:rFonts w:ascii="黑体" w:eastAsia="黑体" w:hAnsi="Times New Roman" w:cs="Times New Roman"/>
          <w:sz w:val="32"/>
          <w:szCs w:val="32"/>
        </w:rPr>
      </w:pPr>
      <w:r w:rsidRPr="00A80FF4">
        <w:rPr>
          <w:rFonts w:ascii="黑体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3</w:t>
      </w:r>
    </w:p>
    <w:p w:rsidR="00DC592E" w:rsidRPr="00922444" w:rsidRDefault="00DC592E" w:rsidP="00DC592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中标保证金及</w:t>
      </w:r>
      <w:r w:rsidRPr="00922444">
        <w:rPr>
          <w:rFonts w:asciiTheme="majorEastAsia" w:eastAsiaTheme="majorEastAsia" w:hAnsiTheme="majorEastAsia" w:hint="eastAsia"/>
          <w:b/>
          <w:sz w:val="36"/>
          <w:szCs w:val="36"/>
        </w:rPr>
        <w:t>中标金</w:t>
      </w:r>
      <w:r w:rsidR="00017920">
        <w:rPr>
          <w:rFonts w:asciiTheme="majorEastAsia" w:eastAsiaTheme="majorEastAsia" w:hAnsiTheme="majorEastAsia" w:hint="eastAsia"/>
          <w:b/>
          <w:sz w:val="36"/>
          <w:szCs w:val="36"/>
        </w:rPr>
        <w:t>电子化缴纳指引</w:t>
      </w:r>
    </w:p>
    <w:p w:rsidR="00DC592E" w:rsidRPr="00D43C4E" w:rsidRDefault="00DC592E" w:rsidP="00DC592E">
      <w:pPr>
        <w:rPr>
          <w:sz w:val="32"/>
          <w:szCs w:val="32"/>
        </w:rPr>
      </w:pPr>
    </w:p>
    <w:p w:rsidR="00DC592E" w:rsidRPr="00DC592E" w:rsidRDefault="00017920" w:rsidP="00DC5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DC592E" w:rsidRPr="00DC592E">
        <w:rPr>
          <w:rFonts w:ascii="仿宋_GB2312" w:eastAsia="仿宋_GB2312" w:hint="eastAsia"/>
          <w:sz w:val="32"/>
          <w:szCs w:val="32"/>
        </w:rPr>
        <w:t>企业需填写缴款专用Excel表格，表格中付款人名称、付款人手机号、合计金额、收费标准、收费数量、收费金额为</w:t>
      </w:r>
      <w:r w:rsidR="00DC592E">
        <w:rPr>
          <w:rFonts w:ascii="仿宋_GB2312" w:eastAsia="仿宋_GB2312" w:hint="eastAsia"/>
          <w:sz w:val="32"/>
          <w:szCs w:val="32"/>
        </w:rPr>
        <w:t>必填项，</w:t>
      </w:r>
      <w:hyperlink r:id="rId10" w:history="1">
        <w:r w:rsidRPr="00017920">
          <w:rPr>
            <w:rStyle w:val="aa"/>
            <w:rFonts w:ascii="仿宋_GB2312" w:eastAsia="仿宋_GB2312" w:hint="eastAsia"/>
            <w:color w:val="auto"/>
            <w:sz w:val="32"/>
            <w:szCs w:val="32"/>
            <w:u w:val="none"/>
          </w:rPr>
          <w:t>表格填写完毕后发送至招标委员会专用邮箱</w:t>
        </w:r>
        <w:r w:rsidRPr="00011277">
          <w:rPr>
            <w:rFonts w:ascii="Times New Roman" w:eastAsia="仿宋_GB2312" w:hAnsi="Times New Roman" w:cs="Times New Roman"/>
            <w:sz w:val="32"/>
            <w:szCs w:val="32"/>
          </w:rPr>
          <w:t>qingfangchu@mofcom.gov.cn</w:t>
        </w:r>
      </w:hyperlink>
      <w:r w:rsidR="00DC592E" w:rsidRPr="00017920">
        <w:rPr>
          <w:rFonts w:ascii="仿宋_GB2312" w:eastAsia="仿宋_GB2312" w:hint="eastAsia"/>
          <w:sz w:val="32"/>
          <w:szCs w:val="32"/>
        </w:rPr>
        <w:t>。</w:t>
      </w:r>
      <w:r w:rsidR="00DC592E" w:rsidRPr="00DC592E">
        <w:rPr>
          <w:rFonts w:ascii="仿宋_GB2312" w:eastAsia="仿宋_GB2312" w:hint="eastAsia"/>
          <w:sz w:val="32"/>
          <w:szCs w:val="32"/>
        </w:rPr>
        <w:t xml:space="preserve"> </w:t>
      </w:r>
    </w:p>
    <w:p w:rsidR="00017920" w:rsidRDefault="00017920" w:rsidP="00DC5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DC592E" w:rsidRPr="00DC592E">
        <w:rPr>
          <w:rFonts w:ascii="仿宋_GB2312" w:eastAsia="仿宋_GB2312" w:hint="eastAsia"/>
          <w:sz w:val="32"/>
          <w:szCs w:val="32"/>
        </w:rPr>
        <w:t>招标委员会</w:t>
      </w:r>
      <w:r>
        <w:rPr>
          <w:rFonts w:ascii="仿宋_GB2312" w:eastAsia="仿宋_GB2312" w:hint="eastAsia"/>
          <w:sz w:val="32"/>
          <w:szCs w:val="32"/>
        </w:rPr>
        <w:t>登陆财政部非税收入管理系统，</w:t>
      </w:r>
      <w:r w:rsidR="00DC592E" w:rsidRPr="00DC592E">
        <w:rPr>
          <w:rFonts w:ascii="仿宋_GB2312" w:eastAsia="仿宋_GB2312" w:hint="eastAsia"/>
          <w:sz w:val="32"/>
          <w:szCs w:val="32"/>
        </w:rPr>
        <w:t>根据企业填写的Excel表格内容生成</w:t>
      </w:r>
      <w:r>
        <w:rPr>
          <w:rFonts w:ascii="仿宋_GB2312" w:eastAsia="仿宋_GB2312" w:hint="eastAsia"/>
          <w:sz w:val="32"/>
          <w:szCs w:val="32"/>
        </w:rPr>
        <w:t>缴款码，以短信形式发送至付款人手机。</w:t>
      </w:r>
    </w:p>
    <w:p w:rsidR="00DC592E" w:rsidRPr="00DC592E" w:rsidRDefault="00017920" w:rsidP="000179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DC592E" w:rsidRPr="00DC592E">
        <w:rPr>
          <w:rFonts w:ascii="仿宋_GB2312" w:eastAsia="仿宋_GB2312" w:hint="eastAsia"/>
          <w:sz w:val="32"/>
          <w:szCs w:val="32"/>
        </w:rPr>
        <w:t>企业凭</w:t>
      </w:r>
      <w:r>
        <w:rPr>
          <w:rFonts w:ascii="仿宋_GB2312" w:eastAsia="仿宋_GB2312" w:hint="eastAsia"/>
          <w:sz w:val="32"/>
          <w:szCs w:val="32"/>
        </w:rPr>
        <w:t>招标委员会发送的</w:t>
      </w:r>
      <w:r w:rsidR="00DC592E" w:rsidRPr="00DC592E">
        <w:rPr>
          <w:rFonts w:ascii="仿宋_GB2312" w:eastAsia="仿宋_GB2312" w:hint="eastAsia"/>
          <w:sz w:val="32"/>
          <w:szCs w:val="32"/>
        </w:rPr>
        <w:t>缴款码</w:t>
      </w:r>
      <w:r>
        <w:rPr>
          <w:rFonts w:ascii="仿宋_GB2312" w:eastAsia="仿宋_GB2312" w:hint="eastAsia"/>
          <w:sz w:val="32"/>
          <w:szCs w:val="32"/>
        </w:rPr>
        <w:t>，</w:t>
      </w:r>
      <w:r w:rsidR="00DC592E" w:rsidRPr="00DC592E">
        <w:rPr>
          <w:rFonts w:ascii="仿宋_GB2312" w:eastAsia="仿宋_GB2312" w:hint="eastAsia"/>
          <w:sz w:val="32"/>
          <w:szCs w:val="32"/>
        </w:rPr>
        <w:t>在财政部指定的12家代理银行缴费（柜台缴纳</w:t>
      </w:r>
      <w:proofErr w:type="gramStart"/>
      <w:r w:rsidR="00DC592E" w:rsidRPr="00DC592E">
        <w:rPr>
          <w:rFonts w:ascii="仿宋_GB2312" w:eastAsia="仿宋_GB2312" w:hint="eastAsia"/>
          <w:sz w:val="32"/>
          <w:szCs w:val="32"/>
        </w:rPr>
        <w:t>或网银缴纳</w:t>
      </w:r>
      <w:proofErr w:type="gramEnd"/>
      <w:r w:rsidR="00DC592E" w:rsidRPr="00DC592E">
        <w:rPr>
          <w:rFonts w:ascii="仿宋_GB2312" w:eastAsia="仿宋_GB2312" w:hint="eastAsia"/>
          <w:sz w:val="32"/>
          <w:szCs w:val="32"/>
        </w:rPr>
        <w:t>）。财政部指定的12家代理银行为：工商银行、农业银行、中国银行、建设银行、交通银行、中信银行、光大银行、兴业银行、招商银行、华夏银行、邮储银行、平安银行。</w:t>
      </w:r>
    </w:p>
    <w:p w:rsidR="00CE6CB4" w:rsidRDefault="00017920" w:rsidP="00DC5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DC592E" w:rsidRPr="00DC592E">
        <w:rPr>
          <w:rFonts w:ascii="仿宋_GB2312" w:eastAsia="仿宋_GB2312" w:hint="eastAsia"/>
          <w:sz w:val="32"/>
          <w:szCs w:val="32"/>
        </w:rPr>
        <w:t>选择网上银行</w:t>
      </w:r>
      <w:r w:rsidR="00CE6CB4">
        <w:rPr>
          <w:rFonts w:ascii="仿宋_GB2312" w:eastAsia="仿宋_GB2312" w:hint="eastAsia"/>
          <w:sz w:val="32"/>
          <w:szCs w:val="32"/>
        </w:rPr>
        <w:t>缴款的</w:t>
      </w:r>
      <w:r w:rsidR="00DC592E" w:rsidRPr="00DC592E">
        <w:rPr>
          <w:rFonts w:ascii="仿宋_GB2312" w:eastAsia="仿宋_GB2312" w:hint="eastAsia"/>
          <w:sz w:val="32"/>
          <w:szCs w:val="32"/>
        </w:rPr>
        <w:t>，</w:t>
      </w:r>
      <w:r w:rsidR="00CE6CB4">
        <w:rPr>
          <w:rFonts w:ascii="仿宋_GB2312" w:eastAsia="仿宋_GB2312" w:hint="eastAsia"/>
          <w:sz w:val="32"/>
          <w:szCs w:val="32"/>
        </w:rPr>
        <w:t>按</w:t>
      </w:r>
      <w:r w:rsidR="00DC592E" w:rsidRPr="00DC592E">
        <w:rPr>
          <w:rFonts w:ascii="仿宋_GB2312" w:eastAsia="仿宋_GB2312" w:hint="eastAsia"/>
          <w:sz w:val="32"/>
          <w:szCs w:val="32"/>
        </w:rPr>
        <w:t>以下程序</w:t>
      </w:r>
      <w:r w:rsidR="00CE6CB4">
        <w:rPr>
          <w:rFonts w:ascii="仿宋_GB2312" w:eastAsia="仿宋_GB2312" w:hint="eastAsia"/>
          <w:sz w:val="32"/>
          <w:szCs w:val="32"/>
        </w:rPr>
        <w:t>操作</w:t>
      </w:r>
      <w:r w:rsidR="00DC592E" w:rsidRPr="00DC592E">
        <w:rPr>
          <w:rFonts w:ascii="仿宋_GB2312" w:eastAsia="仿宋_GB2312" w:hint="eastAsia"/>
          <w:sz w:val="32"/>
          <w:szCs w:val="32"/>
        </w:rPr>
        <w:t>（以工商</w:t>
      </w:r>
      <w:proofErr w:type="gramStart"/>
      <w:r w:rsidR="00DC592E" w:rsidRPr="00DC592E">
        <w:rPr>
          <w:rFonts w:ascii="仿宋_GB2312" w:eastAsia="仿宋_GB2312" w:hint="eastAsia"/>
          <w:sz w:val="32"/>
          <w:szCs w:val="32"/>
        </w:rPr>
        <w:t>银行网银为例</w:t>
      </w:r>
      <w:proofErr w:type="gramEnd"/>
      <w:r w:rsidR="00DC592E" w:rsidRPr="00DC592E">
        <w:rPr>
          <w:rFonts w:ascii="仿宋_GB2312" w:eastAsia="仿宋_GB2312" w:hint="eastAsia"/>
          <w:sz w:val="32"/>
          <w:szCs w:val="32"/>
        </w:rPr>
        <w:t>）：</w:t>
      </w:r>
      <w:proofErr w:type="gramStart"/>
      <w:r w:rsidR="00DC592E" w:rsidRPr="00DC592E">
        <w:rPr>
          <w:rFonts w:ascii="仿宋_GB2312" w:eastAsia="仿宋_GB2312" w:hint="eastAsia"/>
          <w:sz w:val="32"/>
          <w:szCs w:val="32"/>
        </w:rPr>
        <w:t>登陆网银</w:t>
      </w:r>
      <w:proofErr w:type="gramEnd"/>
      <w:r w:rsidR="00DC592E" w:rsidRPr="00DC592E">
        <w:rPr>
          <w:rFonts w:ascii="仿宋_GB2312" w:eastAsia="仿宋_GB2312" w:hint="eastAsia"/>
          <w:sz w:val="32"/>
          <w:szCs w:val="32"/>
        </w:rPr>
        <w:t>-选择“付款业务”-选择“在线缴费”-选择“提交指令缴费”。</w:t>
      </w:r>
    </w:p>
    <w:p w:rsidR="00DC592E" w:rsidRPr="00DC592E" w:rsidRDefault="00CE6CB4" w:rsidP="00DC5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DC592E" w:rsidRPr="00DC592E">
        <w:rPr>
          <w:rFonts w:ascii="仿宋_GB2312" w:eastAsia="仿宋_GB2312" w:hint="eastAsia"/>
          <w:sz w:val="32"/>
          <w:szCs w:val="32"/>
        </w:rPr>
        <w:t>缴费类型选择“财税缴款”，省份城市选择“北京”，点击“确定”后，出现如下界面：</w:t>
      </w:r>
    </w:p>
    <w:tbl>
      <w:tblPr>
        <w:tblW w:w="8173" w:type="dxa"/>
        <w:jc w:val="center"/>
        <w:tblCellSpacing w:w="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2410"/>
        <w:gridCol w:w="2410"/>
        <w:gridCol w:w="992"/>
        <w:gridCol w:w="1134"/>
      </w:tblGrid>
      <w:tr w:rsidR="00DC592E" w:rsidRPr="00DC592E" w:rsidTr="00FA4078">
        <w:trPr>
          <w:trHeight w:val="285"/>
          <w:tblCellSpacing w:w="0" w:type="dxa"/>
          <w:jc w:val="center"/>
        </w:trPr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DC592E" w:rsidRPr="00DC592E" w:rsidRDefault="00DC592E" w:rsidP="00FA4078">
            <w:pPr>
              <w:rPr>
                <w:rFonts w:ascii="仿宋_GB2312" w:eastAsia="仿宋_GB2312"/>
                <w:sz w:val="32"/>
                <w:szCs w:val="32"/>
              </w:rPr>
            </w:pPr>
            <w:r w:rsidRPr="00DC592E">
              <w:rPr>
                <w:rFonts w:ascii="仿宋_GB2312" w:eastAsia="仿宋_GB2312" w:hint="eastAsia"/>
                <w:sz w:val="32"/>
                <w:szCs w:val="32"/>
              </w:rPr>
              <w:t xml:space="preserve">财税缴款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DC592E" w:rsidRPr="00DC592E" w:rsidRDefault="000476B8" w:rsidP="00FA4078">
            <w:pPr>
              <w:rPr>
                <w:rFonts w:ascii="仿宋_GB2312" w:eastAsia="仿宋_GB2312"/>
                <w:sz w:val="32"/>
                <w:szCs w:val="32"/>
              </w:rPr>
            </w:pPr>
            <w:hyperlink r:id="rId11" w:history="1">
              <w:r w:rsidR="00DC592E" w:rsidRPr="00DC592E">
                <w:rPr>
                  <w:rStyle w:val="aa"/>
                  <w:rFonts w:ascii="仿宋_GB2312" w:eastAsia="仿宋_GB2312" w:hint="eastAsia"/>
                  <w:color w:val="auto"/>
                  <w:sz w:val="32"/>
                  <w:szCs w:val="32"/>
                </w:rPr>
                <w:t>中央财政非税收入缴款</w:t>
              </w:r>
            </w:hyperlink>
            <w:r w:rsidR="00DC592E" w:rsidRPr="00DC592E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DC592E" w:rsidRPr="00DC592E" w:rsidRDefault="00DC592E" w:rsidP="00FA4078">
            <w:pPr>
              <w:rPr>
                <w:rFonts w:ascii="仿宋_GB2312" w:eastAsia="仿宋_GB2312"/>
                <w:sz w:val="32"/>
                <w:szCs w:val="32"/>
              </w:rPr>
            </w:pPr>
            <w:r w:rsidRPr="00DC592E">
              <w:rPr>
                <w:rFonts w:ascii="仿宋_GB2312" w:eastAsia="仿宋_GB2312" w:hint="eastAsia"/>
                <w:sz w:val="32"/>
                <w:szCs w:val="32"/>
              </w:rPr>
              <w:t xml:space="preserve">PJ13001302z000000001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DC592E" w:rsidRPr="00DC592E" w:rsidRDefault="00DC592E" w:rsidP="00FA4078">
            <w:pPr>
              <w:rPr>
                <w:rFonts w:ascii="仿宋_GB2312" w:eastAsia="仿宋_GB2312"/>
                <w:sz w:val="32"/>
                <w:szCs w:val="32"/>
              </w:rPr>
            </w:pPr>
            <w:r w:rsidRPr="00DC592E">
              <w:rPr>
                <w:rFonts w:ascii="仿宋_GB2312" w:eastAsia="仿宋_GB2312" w:hint="eastAsia"/>
                <w:sz w:val="32"/>
                <w:szCs w:val="32"/>
              </w:rPr>
              <w:t>北京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</w:tcPr>
          <w:p w:rsidR="00DC592E" w:rsidRPr="00DC592E" w:rsidRDefault="00DC592E" w:rsidP="00FA4078">
            <w:pPr>
              <w:rPr>
                <w:rFonts w:ascii="仿宋_GB2312" w:eastAsia="仿宋_GB2312"/>
                <w:sz w:val="32"/>
                <w:szCs w:val="32"/>
              </w:rPr>
            </w:pPr>
            <w:r w:rsidRPr="00DC592E">
              <w:rPr>
                <w:rFonts w:ascii="仿宋_GB2312" w:eastAsia="仿宋_GB2312" w:hint="eastAsia"/>
                <w:sz w:val="32"/>
                <w:szCs w:val="32"/>
              </w:rPr>
              <w:t xml:space="preserve">财政部 </w:t>
            </w:r>
          </w:p>
        </w:tc>
      </w:tr>
    </w:tbl>
    <w:p w:rsidR="00DC592E" w:rsidRPr="00DC592E" w:rsidRDefault="00CE6CB4" w:rsidP="00CE6C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="00DC592E" w:rsidRPr="00DC592E">
        <w:rPr>
          <w:rFonts w:ascii="仿宋_GB2312" w:eastAsia="仿宋_GB2312" w:hint="eastAsia"/>
          <w:sz w:val="32"/>
          <w:szCs w:val="32"/>
        </w:rPr>
        <w:t>点击</w:t>
      </w:r>
      <w:r>
        <w:rPr>
          <w:rFonts w:ascii="仿宋_GB2312" w:eastAsia="仿宋_GB2312" w:hint="eastAsia"/>
          <w:sz w:val="32"/>
          <w:szCs w:val="32"/>
        </w:rPr>
        <w:t>上述界面中的</w:t>
      </w:r>
      <w:r w:rsidR="00DC592E" w:rsidRPr="00DC592E">
        <w:rPr>
          <w:rFonts w:ascii="仿宋_GB2312" w:eastAsia="仿宋_GB2312" w:hint="eastAsia"/>
          <w:sz w:val="32"/>
          <w:szCs w:val="32"/>
        </w:rPr>
        <w:t>“中央财政非税收入缴款”，出现如下界面：</w:t>
      </w:r>
    </w:p>
    <w:p w:rsidR="00DC592E" w:rsidRPr="00DC592E" w:rsidRDefault="000476B8" w:rsidP="00DC59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弧形 9" o:spid="_x0000_s1027" type="#_x0000_t19" style="position:absolute;left:0;text-align:left;margin-left:90pt;margin-top:22.5pt;width:28.15pt;height:111.05pt;rotation:99;z-index:251660288" strokecolor="red">
            <v:fill o:detectmouseclick="t"/>
          </v:shape>
        </w:pict>
      </w:r>
      <w:r>
        <w:rPr>
          <w:rFonts w:ascii="仿宋_GB2312" w:eastAsia="仿宋_GB2312"/>
          <w:sz w:val="32"/>
          <w:szCs w:val="32"/>
        </w:rPr>
        <w:pict>
          <v:shape id="弧形 8" o:spid="_x0000_s1026" type="#_x0000_t19" style="position:absolute;left:0;text-align:left;margin-left:89.1pt;margin-top:22.95pt;width:30.9pt;height:110.6pt;rotation:-79;z-index:251659264" strokecolor="red">
            <v:fill o:detectmouseclick="t"/>
          </v:shape>
        </w:pict>
      </w:r>
      <w:r w:rsidR="00DC592E" w:rsidRPr="00DC592E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CC45D0E" wp14:editId="2432AEAA">
            <wp:extent cx="5276850" cy="1720850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2E" w:rsidRPr="00DC592E" w:rsidRDefault="00DC592E" w:rsidP="00CE6C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592E">
        <w:rPr>
          <w:rFonts w:ascii="仿宋_GB2312" w:eastAsia="仿宋_GB2312" w:hint="eastAsia"/>
          <w:sz w:val="32"/>
          <w:szCs w:val="32"/>
        </w:rPr>
        <w:t>在“缴款码”栏目中输入缴款码，点击“确定”即完成缴款。</w:t>
      </w:r>
    </w:p>
    <w:p w:rsidR="00DC592E" w:rsidRPr="00DC592E" w:rsidRDefault="00CE6CB4" w:rsidP="00DC59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="00DC592E" w:rsidRPr="00DC592E">
        <w:rPr>
          <w:rFonts w:ascii="仿宋_GB2312" w:eastAsia="仿宋_GB2312" w:hint="eastAsia"/>
          <w:sz w:val="32"/>
          <w:szCs w:val="32"/>
        </w:rPr>
        <w:t>为保证账目清晰，缴款时须一份申请书对应一笔缴款，付款金额应与申请书金额保持一致，</w:t>
      </w:r>
      <w:r>
        <w:rPr>
          <w:rFonts w:ascii="仿宋_GB2312" w:eastAsia="仿宋_GB2312" w:hint="eastAsia"/>
          <w:sz w:val="32"/>
          <w:szCs w:val="32"/>
        </w:rPr>
        <w:t>不得</w:t>
      </w:r>
      <w:r w:rsidR="00DC592E" w:rsidRPr="00DC592E">
        <w:rPr>
          <w:rFonts w:ascii="仿宋_GB2312" w:eastAsia="仿宋_GB2312" w:hint="eastAsia"/>
          <w:sz w:val="32"/>
          <w:szCs w:val="32"/>
        </w:rPr>
        <w:t>几笔款项合付。</w:t>
      </w:r>
    </w:p>
    <w:p w:rsidR="00DC592E" w:rsidRPr="00DC592E" w:rsidRDefault="00CE6CB4" w:rsidP="00DC59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 w:rsidR="00DC592E" w:rsidRPr="00DC592E">
        <w:rPr>
          <w:rFonts w:ascii="仿宋_GB2312" w:eastAsia="仿宋_GB2312" w:hint="eastAsia"/>
          <w:sz w:val="32"/>
          <w:szCs w:val="32"/>
        </w:rPr>
        <w:t>每次缴款后招标委员会均会为企业发放一个对应编码，企业提交</w:t>
      </w:r>
      <w:r>
        <w:rPr>
          <w:rFonts w:ascii="仿宋_GB2312" w:eastAsia="仿宋_GB2312" w:hint="eastAsia"/>
          <w:sz w:val="32"/>
          <w:szCs w:val="32"/>
        </w:rPr>
        <w:t>《申领配额招标商品出口许可证证明书》</w:t>
      </w:r>
      <w:r w:rsidR="00DC592E" w:rsidRPr="00DC592E">
        <w:rPr>
          <w:rFonts w:ascii="仿宋_GB2312" w:eastAsia="仿宋_GB2312" w:hint="eastAsia"/>
          <w:sz w:val="32"/>
          <w:szCs w:val="32"/>
        </w:rPr>
        <w:t>申领资料时须将该编码标注于纸质申请书左上角，以便核对。</w:t>
      </w:r>
    </w:p>
    <w:p w:rsidR="00DC592E" w:rsidRPr="00DC592E" w:rsidRDefault="00DC592E" w:rsidP="00DC592E">
      <w:pPr>
        <w:rPr>
          <w:rFonts w:ascii="黑体" w:eastAsia="黑体" w:hAnsi="Times New Roman" w:cs="Times New Roman"/>
          <w:sz w:val="32"/>
          <w:szCs w:val="32"/>
        </w:rPr>
      </w:pPr>
    </w:p>
    <w:p w:rsidR="00DC592E" w:rsidRPr="00F85745" w:rsidRDefault="00DC592E" w:rsidP="0075267A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DC592E" w:rsidRPr="00F85745" w:rsidSect="008D1A0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B8" w:rsidRDefault="000476B8" w:rsidP="00AB2D83">
      <w:r>
        <w:separator/>
      </w:r>
    </w:p>
  </w:endnote>
  <w:endnote w:type="continuationSeparator" w:id="0">
    <w:p w:rsidR="000476B8" w:rsidRDefault="000476B8" w:rsidP="00AB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819313"/>
      <w:docPartObj>
        <w:docPartGallery w:val="Page Numbers (Bottom of Page)"/>
        <w:docPartUnique/>
      </w:docPartObj>
    </w:sdtPr>
    <w:sdtEndPr/>
    <w:sdtContent>
      <w:p w:rsidR="00645D5F" w:rsidRDefault="006F0848">
        <w:pPr>
          <w:pStyle w:val="a4"/>
          <w:jc w:val="center"/>
        </w:pPr>
        <w:r>
          <w:fldChar w:fldCharType="begin"/>
        </w:r>
        <w:r w:rsidR="00645D5F">
          <w:instrText>PAGE   \* MERGEFORMAT</w:instrText>
        </w:r>
        <w:r>
          <w:fldChar w:fldCharType="separate"/>
        </w:r>
        <w:r w:rsidR="009E2383" w:rsidRPr="009E2383">
          <w:rPr>
            <w:noProof/>
            <w:lang w:val="zh-CN"/>
          </w:rPr>
          <w:t>8</w:t>
        </w:r>
        <w:r>
          <w:fldChar w:fldCharType="end"/>
        </w:r>
      </w:p>
    </w:sdtContent>
  </w:sdt>
  <w:p w:rsidR="00645D5F" w:rsidRDefault="00645D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B8" w:rsidRDefault="000476B8" w:rsidP="00AB2D83">
      <w:r>
        <w:separator/>
      </w:r>
    </w:p>
  </w:footnote>
  <w:footnote w:type="continuationSeparator" w:id="0">
    <w:p w:rsidR="000476B8" w:rsidRDefault="000476B8" w:rsidP="00AB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046D"/>
    <w:multiLevelType w:val="hybridMultilevel"/>
    <w:tmpl w:val="F9F260A6"/>
    <w:lvl w:ilvl="0" w:tplc="BD2009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1BE55C7"/>
    <w:multiLevelType w:val="hybridMultilevel"/>
    <w:tmpl w:val="F3500836"/>
    <w:lvl w:ilvl="0" w:tplc="2F8C7D0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D83"/>
    <w:rsid w:val="00011277"/>
    <w:rsid w:val="00017920"/>
    <w:rsid w:val="00046FA2"/>
    <w:rsid w:val="000476B8"/>
    <w:rsid w:val="0005328A"/>
    <w:rsid w:val="0008123C"/>
    <w:rsid w:val="000B2C8A"/>
    <w:rsid w:val="000C2EA0"/>
    <w:rsid w:val="000D78F7"/>
    <w:rsid w:val="000E1C10"/>
    <w:rsid w:val="00101509"/>
    <w:rsid w:val="001078A3"/>
    <w:rsid w:val="00124520"/>
    <w:rsid w:val="0013029B"/>
    <w:rsid w:val="0013659C"/>
    <w:rsid w:val="00142F76"/>
    <w:rsid w:val="001519B4"/>
    <w:rsid w:val="001558CA"/>
    <w:rsid w:val="00170CD8"/>
    <w:rsid w:val="001751D5"/>
    <w:rsid w:val="0019608E"/>
    <w:rsid w:val="001B3ABE"/>
    <w:rsid w:val="001F3C44"/>
    <w:rsid w:val="0024031F"/>
    <w:rsid w:val="002420D4"/>
    <w:rsid w:val="00242E4B"/>
    <w:rsid w:val="00255DEB"/>
    <w:rsid w:val="002600A2"/>
    <w:rsid w:val="00261103"/>
    <w:rsid w:val="00274111"/>
    <w:rsid w:val="002764FD"/>
    <w:rsid w:val="00284D8C"/>
    <w:rsid w:val="0028710D"/>
    <w:rsid w:val="00292F80"/>
    <w:rsid w:val="002943FF"/>
    <w:rsid w:val="002A53DF"/>
    <w:rsid w:val="002B5373"/>
    <w:rsid w:val="002D08F9"/>
    <w:rsid w:val="002F0BBF"/>
    <w:rsid w:val="002F62C5"/>
    <w:rsid w:val="00313512"/>
    <w:rsid w:val="003451F5"/>
    <w:rsid w:val="0035174E"/>
    <w:rsid w:val="00370392"/>
    <w:rsid w:val="003A331B"/>
    <w:rsid w:val="003A6965"/>
    <w:rsid w:val="003E4FD8"/>
    <w:rsid w:val="003F4FB5"/>
    <w:rsid w:val="00401779"/>
    <w:rsid w:val="00407AB5"/>
    <w:rsid w:val="00454008"/>
    <w:rsid w:val="00461984"/>
    <w:rsid w:val="0046208B"/>
    <w:rsid w:val="004653E1"/>
    <w:rsid w:val="0049299D"/>
    <w:rsid w:val="004A1D49"/>
    <w:rsid w:val="004A64DB"/>
    <w:rsid w:val="004C05D7"/>
    <w:rsid w:val="004D62F4"/>
    <w:rsid w:val="004E5AD7"/>
    <w:rsid w:val="004E6D01"/>
    <w:rsid w:val="0051243E"/>
    <w:rsid w:val="005547BB"/>
    <w:rsid w:val="0055636D"/>
    <w:rsid w:val="005B0F67"/>
    <w:rsid w:val="005C3E21"/>
    <w:rsid w:val="005E070B"/>
    <w:rsid w:val="005F1730"/>
    <w:rsid w:val="00640380"/>
    <w:rsid w:val="00645D5F"/>
    <w:rsid w:val="00657C62"/>
    <w:rsid w:val="00661049"/>
    <w:rsid w:val="00663034"/>
    <w:rsid w:val="00664D4C"/>
    <w:rsid w:val="00666A12"/>
    <w:rsid w:val="00673C9A"/>
    <w:rsid w:val="006922BA"/>
    <w:rsid w:val="006C4F45"/>
    <w:rsid w:val="006D5145"/>
    <w:rsid w:val="006E14DB"/>
    <w:rsid w:val="006E7854"/>
    <w:rsid w:val="006F0848"/>
    <w:rsid w:val="007244AE"/>
    <w:rsid w:val="007263FD"/>
    <w:rsid w:val="0073599B"/>
    <w:rsid w:val="00736001"/>
    <w:rsid w:val="0075267A"/>
    <w:rsid w:val="00754E4E"/>
    <w:rsid w:val="00763BBE"/>
    <w:rsid w:val="00767C77"/>
    <w:rsid w:val="007A58B6"/>
    <w:rsid w:val="007B037C"/>
    <w:rsid w:val="007B4939"/>
    <w:rsid w:val="007D794B"/>
    <w:rsid w:val="007E3EFD"/>
    <w:rsid w:val="007F3D64"/>
    <w:rsid w:val="007F7728"/>
    <w:rsid w:val="00831A1F"/>
    <w:rsid w:val="0084137D"/>
    <w:rsid w:val="00874AA1"/>
    <w:rsid w:val="008D1A02"/>
    <w:rsid w:val="008E651D"/>
    <w:rsid w:val="00947B14"/>
    <w:rsid w:val="00953705"/>
    <w:rsid w:val="00972637"/>
    <w:rsid w:val="0098590B"/>
    <w:rsid w:val="009B2536"/>
    <w:rsid w:val="009B4047"/>
    <w:rsid w:val="009C6917"/>
    <w:rsid w:val="009E2383"/>
    <w:rsid w:val="009F0987"/>
    <w:rsid w:val="009F7A5D"/>
    <w:rsid w:val="00A02BE8"/>
    <w:rsid w:val="00A10EA5"/>
    <w:rsid w:val="00A12D39"/>
    <w:rsid w:val="00A51DF1"/>
    <w:rsid w:val="00A55D19"/>
    <w:rsid w:val="00A71AEB"/>
    <w:rsid w:val="00A77793"/>
    <w:rsid w:val="00A80FF4"/>
    <w:rsid w:val="00AA592D"/>
    <w:rsid w:val="00AB2D83"/>
    <w:rsid w:val="00AD5CE2"/>
    <w:rsid w:val="00B107A6"/>
    <w:rsid w:val="00B66D1D"/>
    <w:rsid w:val="00B811C2"/>
    <w:rsid w:val="00BF33F3"/>
    <w:rsid w:val="00C03DAC"/>
    <w:rsid w:val="00C15EC6"/>
    <w:rsid w:val="00C41CB9"/>
    <w:rsid w:val="00C423AC"/>
    <w:rsid w:val="00C45E2E"/>
    <w:rsid w:val="00C5778C"/>
    <w:rsid w:val="00CB086E"/>
    <w:rsid w:val="00CB64D2"/>
    <w:rsid w:val="00CE199F"/>
    <w:rsid w:val="00CE1DC8"/>
    <w:rsid w:val="00CE6CB4"/>
    <w:rsid w:val="00D01366"/>
    <w:rsid w:val="00D11FEC"/>
    <w:rsid w:val="00D12D12"/>
    <w:rsid w:val="00D25E61"/>
    <w:rsid w:val="00D31DA6"/>
    <w:rsid w:val="00D35FB8"/>
    <w:rsid w:val="00D661C5"/>
    <w:rsid w:val="00D708B2"/>
    <w:rsid w:val="00D96EB0"/>
    <w:rsid w:val="00DB12D2"/>
    <w:rsid w:val="00DC592E"/>
    <w:rsid w:val="00DF5C51"/>
    <w:rsid w:val="00E03E44"/>
    <w:rsid w:val="00E108AF"/>
    <w:rsid w:val="00E2199F"/>
    <w:rsid w:val="00E30561"/>
    <w:rsid w:val="00E36E6E"/>
    <w:rsid w:val="00E50A0B"/>
    <w:rsid w:val="00E84711"/>
    <w:rsid w:val="00E87680"/>
    <w:rsid w:val="00E95624"/>
    <w:rsid w:val="00EA2F8F"/>
    <w:rsid w:val="00EC60BE"/>
    <w:rsid w:val="00EE6D9B"/>
    <w:rsid w:val="00EE7B41"/>
    <w:rsid w:val="00EF2893"/>
    <w:rsid w:val="00F11157"/>
    <w:rsid w:val="00F16837"/>
    <w:rsid w:val="00F2291B"/>
    <w:rsid w:val="00F26E4C"/>
    <w:rsid w:val="00F27264"/>
    <w:rsid w:val="00F4123B"/>
    <w:rsid w:val="00F54306"/>
    <w:rsid w:val="00F66AF9"/>
    <w:rsid w:val="00F85745"/>
    <w:rsid w:val="00FB3298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弧形 9"/>
        <o:r id="V:Rule2" type="arc" idref="#弧形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D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2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46FA2"/>
    <w:pPr>
      <w:ind w:firstLineChars="200" w:firstLine="420"/>
    </w:pPr>
  </w:style>
  <w:style w:type="table" w:styleId="a7">
    <w:name w:val="Table Grid"/>
    <w:basedOn w:val="a1"/>
    <w:uiPriority w:val="59"/>
    <w:rsid w:val="00046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108AF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661C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61C5"/>
    <w:rPr>
      <w:sz w:val="18"/>
      <w:szCs w:val="18"/>
    </w:rPr>
  </w:style>
  <w:style w:type="character" w:styleId="aa">
    <w:name w:val="Hyperlink"/>
    <w:basedOn w:val="a0"/>
    <w:uiPriority w:val="99"/>
    <w:unhideWhenUsed/>
    <w:rsid w:val="00DC5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D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2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46FA2"/>
    <w:pPr>
      <w:ind w:firstLineChars="200" w:firstLine="420"/>
    </w:pPr>
  </w:style>
  <w:style w:type="table" w:styleId="a7">
    <w:name w:val="Table Grid"/>
    <w:basedOn w:val="a1"/>
    <w:uiPriority w:val="59"/>
    <w:rsid w:val="00046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108AF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661C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6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0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86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63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391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73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77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on_sub('thisform','Chargeitemcode','PJ13001302z000000001')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34920;&#26684;&#22635;&#20889;&#23436;&#27605;&#21518;&#21457;&#36865;&#33267;&#25307;&#26631;&#22996;&#21592;&#20250;&#19987;&#29992;&#37038;&#31665;huowei@cccmhpie.org.c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91E4-F2D4-4867-A970-A61FC73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14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中药部</dc:creator>
  <cp:lastModifiedBy>mofocm</cp:lastModifiedBy>
  <cp:revision>60</cp:revision>
  <cp:lastPrinted>2018-12-03T02:58:00Z</cp:lastPrinted>
  <dcterms:created xsi:type="dcterms:W3CDTF">2017-11-08T08:48:00Z</dcterms:created>
  <dcterms:modified xsi:type="dcterms:W3CDTF">2018-12-11T01:40:00Z</dcterms:modified>
</cp:coreProperties>
</file>