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ED" w:rsidRPr="00720656" w:rsidRDefault="000F2EED" w:rsidP="000F2EED">
      <w:pPr>
        <w:adjustRightInd w:val="0"/>
        <w:snapToGrid w:val="0"/>
        <w:spacing w:line="400" w:lineRule="exact"/>
        <w:jc w:val="center"/>
        <w:rPr>
          <w:rFonts w:ascii="黑体" w:eastAsia="黑体" w:hint="eastAsia"/>
          <w:b/>
          <w:bCs/>
          <w:color w:val="0000FF"/>
          <w:spacing w:val="8"/>
          <w:sz w:val="28"/>
          <w:szCs w:val="28"/>
        </w:rPr>
      </w:pPr>
      <w:r w:rsidRPr="00720656">
        <w:rPr>
          <w:rFonts w:ascii="黑体" w:eastAsia="黑体" w:hint="eastAsia"/>
          <w:b/>
          <w:bCs/>
          <w:color w:val="000000"/>
          <w:sz w:val="28"/>
          <w:szCs w:val="28"/>
        </w:rPr>
        <w:t>附表3：</w:t>
      </w:r>
      <w:hyperlink r:id="rId4" w:history="1">
        <w:r w:rsidRPr="00720656">
          <w:rPr>
            <w:rStyle w:val="a3"/>
            <w:rFonts w:ascii="黑体" w:eastAsia="黑体" w:hint="eastAsia"/>
            <w:color w:val="000000"/>
            <w:spacing w:val="8"/>
            <w:sz w:val="28"/>
            <w:szCs w:val="28"/>
          </w:rPr>
          <w:t>允许</w:t>
        </w:r>
        <w:r w:rsidRPr="00720656">
          <w:rPr>
            <w:rStyle w:val="a3"/>
            <w:rFonts w:ascii="黑体" w:eastAsia="黑体" w:hint="eastAsia"/>
            <w:color w:val="000000"/>
            <w:spacing w:val="8"/>
            <w:sz w:val="28"/>
            <w:szCs w:val="28"/>
          </w:rPr>
          <w:t>短</w:t>
        </w:r>
        <w:r w:rsidRPr="00720656">
          <w:rPr>
            <w:rStyle w:val="a3"/>
            <w:rFonts w:ascii="黑体" w:eastAsia="黑体" w:hint="eastAsia"/>
            <w:color w:val="000000"/>
            <w:spacing w:val="8"/>
            <w:sz w:val="28"/>
            <w:szCs w:val="28"/>
          </w:rPr>
          <w:t>缺量</w:t>
        </w:r>
      </w:hyperlink>
    </w:p>
    <w:p w:rsidR="000F2EED" w:rsidRDefault="000F2EED" w:rsidP="000F2EED">
      <w:pPr>
        <w:adjustRightInd w:val="0"/>
        <w:snapToGrid w:val="0"/>
        <w:spacing w:line="400" w:lineRule="exact"/>
        <w:rPr>
          <w:rFonts w:hint="eastAsia"/>
          <w:bCs/>
          <w:color w:val="0000FF"/>
          <w:spacing w:val="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1"/>
        <w:gridCol w:w="2379"/>
        <w:gridCol w:w="2562"/>
      </w:tblGrid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质量或体积定量包装商品的标注净含量 (</w:t>
            </w: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)   g或ml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  <w:vertAlign w:val="superscript"/>
              </w:rPr>
            </w:pPr>
            <w:r>
              <w:rPr>
                <w:rFonts w:ascii="宋体" w:hAnsi="宋体" w:hint="eastAsia"/>
                <w:szCs w:val="21"/>
              </w:rPr>
              <w:t>允许短缺量(</w:t>
            </w:r>
            <w:r>
              <w:rPr>
                <w:rFonts w:ascii="宋体" w:hAnsi="宋体" w:hint="eastAsia"/>
                <w:i/>
                <w:szCs w:val="21"/>
              </w:rPr>
              <w:t>T)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vertAlign w:val="superscript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g或ml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的百分比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g或ml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0～50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50～100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100～200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200～300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300～500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500～1000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1000～10000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10000～15000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15000～50000</w:t>
            </w:r>
          </w:p>
        </w:tc>
        <w:tc>
          <w:tcPr>
            <w:tcW w:w="2379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62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522" w:type="dxa"/>
            <w:gridSpan w:val="3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长度定量包装商品的标注净含量（</w:t>
            </w: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允许短缺量（</w:t>
            </w:r>
            <w:r>
              <w:rPr>
                <w:rFonts w:ascii="宋体" w:hAnsi="宋体" w:hint="eastAsia"/>
                <w:i/>
                <w:szCs w:val="21"/>
              </w:rPr>
              <w:t xml:space="preserve">T）   </w:t>
            </w:r>
            <w:r>
              <w:rPr>
                <w:rFonts w:ascii="宋体" w:hAnsi="宋体" w:hint="eastAsia"/>
                <w:szCs w:val="21"/>
              </w:rPr>
              <w:t>m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≤5m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不允许出现</w:t>
            </w:r>
            <w:r>
              <w:rPr>
                <w:rFonts w:ascii="宋体" w:hAnsi="宋体" w:hint="eastAsia"/>
                <w:szCs w:val="21"/>
              </w:rPr>
              <w:t>短缺量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＞5m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×2%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522" w:type="dxa"/>
            <w:gridSpan w:val="3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面积定量包装商品的标注净含量（</w:t>
            </w: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ind w:firstLineChars="400" w:firstLine="84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允许短缺量</w:t>
            </w:r>
            <w:r>
              <w:rPr>
                <w:rFonts w:ascii="宋体" w:hAnsi="宋体" w:hint="eastAsia"/>
                <w:i/>
                <w:szCs w:val="21"/>
              </w:rPr>
              <w:t>（T）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全部</w:t>
            </w: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×3%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522" w:type="dxa"/>
            <w:gridSpan w:val="3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计数定量包装商品的标注净含量（</w:t>
            </w: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i/>
                <w:szCs w:val="21"/>
              </w:rPr>
              <w:t>）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ind w:firstLineChars="400" w:firstLine="84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允许短缺量</w:t>
            </w:r>
            <w:r>
              <w:rPr>
                <w:rFonts w:ascii="宋体" w:hAnsi="宋体" w:hint="eastAsia"/>
                <w:i/>
                <w:szCs w:val="21"/>
              </w:rPr>
              <w:t>（T）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≤50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不允许出现</w:t>
            </w:r>
            <w:r>
              <w:rPr>
                <w:rFonts w:ascii="宋体" w:hAnsi="宋体" w:hint="eastAsia"/>
                <w:szCs w:val="21"/>
              </w:rPr>
              <w:t>短缺量</w:t>
            </w:r>
          </w:p>
        </w:tc>
      </w:tr>
      <w:tr w:rsidR="000F2EED" w:rsidTr="005F169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1" w:type="dxa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>＞50</w:t>
            </w:r>
          </w:p>
        </w:tc>
        <w:tc>
          <w:tcPr>
            <w:tcW w:w="4941" w:type="dxa"/>
            <w:gridSpan w:val="2"/>
            <w:vAlign w:val="center"/>
          </w:tcPr>
          <w:p w:rsidR="000F2EED" w:rsidRDefault="000F2EED" w:rsidP="005F169A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Q</w:t>
            </w:r>
            <w:r>
              <w:rPr>
                <w:rFonts w:ascii="宋体" w:hAnsi="宋体" w:hint="eastAsia"/>
                <w:i/>
                <w:szCs w:val="21"/>
                <w:vertAlign w:val="subscript"/>
              </w:rPr>
              <w:t>n</w:t>
            </w:r>
            <w:r>
              <w:rPr>
                <w:rFonts w:ascii="宋体" w:hAnsi="宋体" w:hint="eastAsia"/>
                <w:szCs w:val="21"/>
              </w:rPr>
              <w:t xml:space="preserve">×1% </w:t>
            </w:r>
            <w:r>
              <w:rPr>
                <w:rFonts w:ascii="宋体" w:hAnsi="宋体" w:hint="eastAsia"/>
                <w:szCs w:val="21"/>
                <w:vertAlign w:val="superscript"/>
              </w:rPr>
              <w:t>**</w:t>
            </w:r>
          </w:p>
        </w:tc>
      </w:tr>
    </w:tbl>
    <w:p w:rsidR="000F2EED" w:rsidRDefault="000F2EED" w:rsidP="000F2EED">
      <w:pPr>
        <w:snapToGrid w:val="0"/>
        <w:spacing w:line="4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注：*对于允许短缺量（</w:t>
      </w:r>
      <w:r>
        <w:rPr>
          <w:rFonts w:ascii="宋体" w:hAnsi="宋体" w:hint="eastAsia"/>
          <w:i/>
          <w:szCs w:val="21"/>
        </w:rPr>
        <w:t>T）</w:t>
      </w:r>
      <w:r>
        <w:rPr>
          <w:rFonts w:ascii="宋体" w:hAnsi="宋体" w:hint="eastAsia"/>
          <w:szCs w:val="21"/>
        </w:rPr>
        <w:t>，当</w:t>
      </w:r>
      <w:r>
        <w:rPr>
          <w:rFonts w:ascii="宋体" w:hAnsi="宋体" w:hint="eastAsia"/>
          <w:i/>
          <w:szCs w:val="21"/>
        </w:rPr>
        <w:t>Q</w:t>
      </w:r>
      <w:r>
        <w:rPr>
          <w:rFonts w:ascii="宋体" w:hAnsi="宋体" w:hint="eastAsia"/>
          <w:i/>
          <w:szCs w:val="21"/>
          <w:vertAlign w:val="subscript"/>
        </w:rPr>
        <w:t>n</w:t>
      </w:r>
      <w:r>
        <w:rPr>
          <w:rFonts w:ascii="宋体" w:hAnsi="宋体" w:hint="eastAsia"/>
          <w:szCs w:val="21"/>
        </w:rPr>
        <w:t>≤1kg（L）时，T值的0.01g（ml）位修约至0.1g（ml）；当</w:t>
      </w:r>
      <w:r>
        <w:rPr>
          <w:rFonts w:ascii="宋体" w:hAnsi="宋体" w:hint="eastAsia"/>
          <w:i/>
          <w:szCs w:val="21"/>
        </w:rPr>
        <w:t>Q</w:t>
      </w:r>
      <w:r>
        <w:rPr>
          <w:rFonts w:ascii="宋体" w:hAnsi="宋体" w:hint="eastAsia"/>
          <w:i/>
          <w:szCs w:val="21"/>
          <w:vertAlign w:val="subscript"/>
        </w:rPr>
        <w:t>n</w:t>
      </w:r>
      <w:r>
        <w:rPr>
          <w:rFonts w:ascii="宋体" w:hAnsi="宋体" w:hint="eastAsia"/>
          <w:szCs w:val="21"/>
        </w:rPr>
        <w:t>＞1kg（L）时，T值的0.1g（ml）位修约至g（ml）；</w:t>
      </w:r>
    </w:p>
    <w:p w:rsidR="000F2EED" w:rsidRDefault="000F2EED" w:rsidP="000F2EED">
      <w:pPr>
        <w:adjustRightInd w:val="0"/>
        <w:snapToGrid w:val="0"/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**以标注净含量乘以1%，如果出现小数，就把该数进位到下一个紧邻的整数。这个值可能大于1%，但这是可以接受的，因为商品的个数为整数，不能带有小数。</w:t>
      </w:r>
    </w:p>
    <w:p w:rsidR="007E607F" w:rsidRPr="000F2EED" w:rsidRDefault="007E607F"/>
    <w:sectPr w:rsidR="007E607F" w:rsidRPr="000F2EED" w:rsidSect="007E6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EED"/>
    <w:rsid w:val="00017FC5"/>
    <w:rsid w:val="00020AE8"/>
    <w:rsid w:val="0006056B"/>
    <w:rsid w:val="00062E63"/>
    <w:rsid w:val="00062EB4"/>
    <w:rsid w:val="00064B98"/>
    <w:rsid w:val="00086E78"/>
    <w:rsid w:val="000D576A"/>
    <w:rsid w:val="000F1B4E"/>
    <w:rsid w:val="000F2EED"/>
    <w:rsid w:val="000F32BE"/>
    <w:rsid w:val="00106B2C"/>
    <w:rsid w:val="00126387"/>
    <w:rsid w:val="00135206"/>
    <w:rsid w:val="001474D4"/>
    <w:rsid w:val="001576F0"/>
    <w:rsid w:val="00180A6A"/>
    <w:rsid w:val="00185170"/>
    <w:rsid w:val="002126C2"/>
    <w:rsid w:val="00212F1A"/>
    <w:rsid w:val="00213402"/>
    <w:rsid w:val="002667D4"/>
    <w:rsid w:val="002A5DA1"/>
    <w:rsid w:val="002A75AA"/>
    <w:rsid w:val="002B076C"/>
    <w:rsid w:val="002B0C24"/>
    <w:rsid w:val="002D394F"/>
    <w:rsid w:val="002F0C49"/>
    <w:rsid w:val="002F31EC"/>
    <w:rsid w:val="002F378C"/>
    <w:rsid w:val="003200FD"/>
    <w:rsid w:val="00322E71"/>
    <w:rsid w:val="00325D95"/>
    <w:rsid w:val="00343306"/>
    <w:rsid w:val="00350635"/>
    <w:rsid w:val="00351BAC"/>
    <w:rsid w:val="00357861"/>
    <w:rsid w:val="003771BC"/>
    <w:rsid w:val="0039397D"/>
    <w:rsid w:val="003A3663"/>
    <w:rsid w:val="003C7E4E"/>
    <w:rsid w:val="003E07EA"/>
    <w:rsid w:val="003E55C8"/>
    <w:rsid w:val="004667CA"/>
    <w:rsid w:val="00482F5D"/>
    <w:rsid w:val="004A1023"/>
    <w:rsid w:val="004B7107"/>
    <w:rsid w:val="004E0537"/>
    <w:rsid w:val="004E25C7"/>
    <w:rsid w:val="004F7967"/>
    <w:rsid w:val="005340BD"/>
    <w:rsid w:val="0053605E"/>
    <w:rsid w:val="005408B7"/>
    <w:rsid w:val="00547898"/>
    <w:rsid w:val="00555EFB"/>
    <w:rsid w:val="00560008"/>
    <w:rsid w:val="00562D38"/>
    <w:rsid w:val="00593AE3"/>
    <w:rsid w:val="00594914"/>
    <w:rsid w:val="005C742C"/>
    <w:rsid w:val="005C7444"/>
    <w:rsid w:val="005D1409"/>
    <w:rsid w:val="005D5F65"/>
    <w:rsid w:val="005E1D4C"/>
    <w:rsid w:val="005E5DCC"/>
    <w:rsid w:val="005E70C8"/>
    <w:rsid w:val="005F6FA7"/>
    <w:rsid w:val="00601B76"/>
    <w:rsid w:val="006066DE"/>
    <w:rsid w:val="00607FB3"/>
    <w:rsid w:val="00621D07"/>
    <w:rsid w:val="006243C7"/>
    <w:rsid w:val="0062561B"/>
    <w:rsid w:val="00654CE6"/>
    <w:rsid w:val="00664949"/>
    <w:rsid w:val="00672575"/>
    <w:rsid w:val="006A09EB"/>
    <w:rsid w:val="006A5418"/>
    <w:rsid w:val="006A6EC6"/>
    <w:rsid w:val="006B59DB"/>
    <w:rsid w:val="006E49BD"/>
    <w:rsid w:val="006F43DF"/>
    <w:rsid w:val="00711699"/>
    <w:rsid w:val="007C2BDD"/>
    <w:rsid w:val="007D093A"/>
    <w:rsid w:val="007D1C3E"/>
    <w:rsid w:val="007E10FC"/>
    <w:rsid w:val="007E1BC8"/>
    <w:rsid w:val="007E607F"/>
    <w:rsid w:val="007F6DA0"/>
    <w:rsid w:val="00833D39"/>
    <w:rsid w:val="00837E33"/>
    <w:rsid w:val="00845916"/>
    <w:rsid w:val="00847E4C"/>
    <w:rsid w:val="00871BEE"/>
    <w:rsid w:val="008A1887"/>
    <w:rsid w:val="008A298D"/>
    <w:rsid w:val="008B0506"/>
    <w:rsid w:val="008B34FC"/>
    <w:rsid w:val="008C0F42"/>
    <w:rsid w:val="008C2C75"/>
    <w:rsid w:val="008F5033"/>
    <w:rsid w:val="00913B72"/>
    <w:rsid w:val="00914298"/>
    <w:rsid w:val="0092540F"/>
    <w:rsid w:val="009304C9"/>
    <w:rsid w:val="00976CE6"/>
    <w:rsid w:val="009C5ABD"/>
    <w:rsid w:val="009E47E4"/>
    <w:rsid w:val="00A0211B"/>
    <w:rsid w:val="00A22F83"/>
    <w:rsid w:val="00A2421B"/>
    <w:rsid w:val="00A44970"/>
    <w:rsid w:val="00A91D55"/>
    <w:rsid w:val="00AA1152"/>
    <w:rsid w:val="00AB54F4"/>
    <w:rsid w:val="00AC6C3F"/>
    <w:rsid w:val="00AC7313"/>
    <w:rsid w:val="00AD1B58"/>
    <w:rsid w:val="00AD390F"/>
    <w:rsid w:val="00B02708"/>
    <w:rsid w:val="00B030CA"/>
    <w:rsid w:val="00B10D81"/>
    <w:rsid w:val="00B20153"/>
    <w:rsid w:val="00B21F0F"/>
    <w:rsid w:val="00B32AD8"/>
    <w:rsid w:val="00B459F9"/>
    <w:rsid w:val="00B45AFD"/>
    <w:rsid w:val="00B606DD"/>
    <w:rsid w:val="00B75235"/>
    <w:rsid w:val="00B8216D"/>
    <w:rsid w:val="00B90EAA"/>
    <w:rsid w:val="00BA0E45"/>
    <w:rsid w:val="00BD09B6"/>
    <w:rsid w:val="00BD6D3F"/>
    <w:rsid w:val="00BE3557"/>
    <w:rsid w:val="00BF259D"/>
    <w:rsid w:val="00C27985"/>
    <w:rsid w:val="00C333CD"/>
    <w:rsid w:val="00C46263"/>
    <w:rsid w:val="00C72C2A"/>
    <w:rsid w:val="00C926E9"/>
    <w:rsid w:val="00CB05F9"/>
    <w:rsid w:val="00CB1BF2"/>
    <w:rsid w:val="00CB25B5"/>
    <w:rsid w:val="00CC519A"/>
    <w:rsid w:val="00CD0E9D"/>
    <w:rsid w:val="00CD2ABF"/>
    <w:rsid w:val="00CE4D3B"/>
    <w:rsid w:val="00D017B0"/>
    <w:rsid w:val="00D0261F"/>
    <w:rsid w:val="00D02EB4"/>
    <w:rsid w:val="00D12ED6"/>
    <w:rsid w:val="00D31C43"/>
    <w:rsid w:val="00D50101"/>
    <w:rsid w:val="00D510EF"/>
    <w:rsid w:val="00D61A55"/>
    <w:rsid w:val="00D868B6"/>
    <w:rsid w:val="00DA23CA"/>
    <w:rsid w:val="00DB2660"/>
    <w:rsid w:val="00DC7BAD"/>
    <w:rsid w:val="00DD73CF"/>
    <w:rsid w:val="00DE4877"/>
    <w:rsid w:val="00E103CF"/>
    <w:rsid w:val="00E179C1"/>
    <w:rsid w:val="00E20505"/>
    <w:rsid w:val="00E41F74"/>
    <w:rsid w:val="00E93ACC"/>
    <w:rsid w:val="00EB4AC1"/>
    <w:rsid w:val="00EC098E"/>
    <w:rsid w:val="00ED7A84"/>
    <w:rsid w:val="00EE7031"/>
    <w:rsid w:val="00F127D5"/>
    <w:rsid w:val="00F21F28"/>
    <w:rsid w:val="00F23E59"/>
    <w:rsid w:val="00F34379"/>
    <w:rsid w:val="00F475DA"/>
    <w:rsid w:val="00F73094"/>
    <w:rsid w:val="00F76083"/>
    <w:rsid w:val="00F80A0A"/>
    <w:rsid w:val="00F9110F"/>
    <w:rsid w:val="00F97E10"/>
    <w:rsid w:val="00FA0762"/>
    <w:rsid w:val="00FA7CF7"/>
    <w:rsid w:val="00FB4742"/>
    <w:rsid w:val="00FD044F"/>
    <w:rsid w:val="00FE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F2E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qsiq.gov.cn/cms/data/1895/15223_fj3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Hp-W20210820L</dc:creator>
  <cp:lastModifiedBy>Hp-W20210820L</cp:lastModifiedBy>
  <cp:revision>1</cp:revision>
  <dcterms:created xsi:type="dcterms:W3CDTF">2015-07-03T04:08:00Z</dcterms:created>
  <dcterms:modified xsi:type="dcterms:W3CDTF">2015-07-03T04:21:00Z</dcterms:modified>
</cp:coreProperties>
</file>