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年食糖进口关税配额申请和分配细则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根据商务部、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发展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改革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委员会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令2003年第4号（《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"http://ncpimp.mofcom.gov.cn/" \t "_blank"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农产品进口关税配额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管理暂行办法》），商务部制定了202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instrText xml:space="preserve"> HYPERLINK "javascript:void(0)" </w:instrTex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食糖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进口关税配额申请和分配细则。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一、关税配额总量和种类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年食糖进口关税配额总量为194.5万吨，其中70%为国营贸易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配额。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企业可自主选择申请：（1）国营贸易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配额；（2）非国营贸易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配额；（3）国营贸易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配额和非国营贸易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配额。其中，分配给企业的国营贸易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配额，须通过国营贸易企业代理进口，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国营贸易企业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在当年8月15日前未签订进口合同的，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获得关税配额的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企业可以自行进口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或委托其他企业进口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二、申请条件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有资格获得202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年食糖进口关税配额的企业须首先符合以下条件：20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年10月1日前在市场监督管理部门登记注册；未列入“信用中国”网站受惩黑名单；没有违反《农产品进口关税配额管理暂行办法》的行为；符合国家产业政策和《产业结构调整指导目录》相关规定。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除上述条件外，申请企业还必须符合以下所列条件之一：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（一）获得20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年食糖关税配额且有进口实绩（接受关税配额企业委托的代理进口不计入受委托企业的进口实绩）的企业；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年日加工原糖600吨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以上（含600吨）或食糖年销售额4.5亿元以上（含4.5亿元）的食糖生产企业；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（三）以食糖为原料从事加工贸易的企业。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三、分配原则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如本《细则》所公布的进口关税配额总量能够满足符合条件企业的申请总量，按企业申请数量分配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如本《细则》所公布的进口关税配额总量不能满足符合条件企业的申请总量，则有进口实绩的企业分得的配额量不少于其上一年配额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内的进口量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。如有剩余配额，在考虑生产加工能力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及销售额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的基础上，分配给上一年无进口实绩的企业。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如获得关税配额的企业未能完成配额内的全部进口量，则按《农产品进口关税配额管理暂行办法》相关罚则规定处理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四、申请材料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（一）农产品进口关税配额申请表；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（二）企业法人营业执照（副本）复印件；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2022年食糖及制品的销售增值税专用发票（复印件）一张；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（四）食品生产许可证（申请一般贸易配额的生产企业提供）;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（五）主管部门对建设项目的批复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或备案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文件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以及竣工验收报告（原糖加工企业提供）。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五、申请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（一）商务部委托省级地方商务主管部门（以下简称商务部委托机构）接收企业申请材料。申请者于20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年10月15日至30日向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注册所在地的商务部委托机构提交申请。《202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年食糖进口关税配额申请表》（见附1）可从商务部网站（http://www.mofcom.gov.cn）下载。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（二）商务部委托机构于20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年11月15日前将符合条件的书面申请材料送达商务部（行政事务服务大厅），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同时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申请表中所包含的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信息上传至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农产品进口关税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配额管理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。逾期不再受理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商务部委托机构寄送书面申请材料需注明：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北京市东长安街2号商务部行政事务服务大厅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项目编码18015-001(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食糖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进口关税配额申请材料)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邮编:100731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（联系电话：010-6519786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公示阶段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（一） 为方便公众协助商务部对申请企业所提交信息的真实性进行核实，商务部将在官方网站上对申请企业信息进行公示（公示期和举报意见提交方式将在公示时一并规定）。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（二）公示期内，任何主体均可就所公示信息的真实性进行举报。公众提交举报意见的期限届满后，商务部将委托被举报申请企业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注册所在地的委托机构进行核查。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（三）核查期间，被举报申请企业有权通过书面等方式，就所举报的相关问题向委托机构提出异议。委托机构审阅被举报企业提出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异议并完成调查核实后，向商务部就举报意见的真实性反馈核查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七、其他规则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（一）企业对其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提交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申请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材料和信息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的真实性承担主体责任，对虚假申报或拒不履行其在申请表中所作承诺的失信者，有关部门将按照国家有关规定采取相应惩戒措施。对伪造有关资料骗取《农产品进口关税配额证》的企业，除依法收缴其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配额证外，两年内不再受理其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食糖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进口关税配额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（二）对伪造、变造或者买卖《农产品进口关税配额证》的企业，依照有关法律规定追究其刑事责任，且两年内不再受理其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食糖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进口关税配额的申请。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附：1.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年食糖进口关税配额申请表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1280" w:firstLineChars="4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eastAsia="仿宋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食糖进口税目表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附1</w:t>
      </w:r>
    </w:p>
    <w:p>
      <w:pPr>
        <w:spacing w:line="588" w:lineRule="exact"/>
        <w:jc w:val="center"/>
        <w:rPr>
          <w:rFonts w:hint="default" w:ascii="Times New Roman" w:hAnsi="Times New Roman" w:eastAsia="黑体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食糖进口关税配额申请表</w:t>
      </w:r>
    </w:p>
    <w:p>
      <w:pPr>
        <w:ind w:right="-733" w:rightChars="-349"/>
        <w:jc w:val="right"/>
        <w:rPr>
          <w:rFonts w:hint="default" w:ascii="LinTimes" w:hAnsi="LinTimes" w:eastAsia="仿宋_GB2312" w:cs="LinTimes"/>
          <w:b w:val="0"/>
          <w:bCs/>
          <w:szCs w:val="21"/>
        </w:rPr>
      </w:pPr>
      <w:r>
        <w:rPr>
          <w:rFonts w:hint="default" w:ascii="LinTimes" w:hAnsi="LinTimes" w:eastAsia="仿宋_GB2312" w:cs="LinTimes"/>
          <w:b w:val="0"/>
          <w:bCs/>
          <w:szCs w:val="21"/>
          <w:lang w:val="en-US" w:eastAsia="zh-CN"/>
        </w:rPr>
        <w:t xml:space="preserve">   </w:t>
      </w:r>
      <w:r>
        <w:rPr>
          <w:rFonts w:hint="default" w:ascii="LinTimes" w:hAnsi="LinTimes" w:eastAsia="仿宋_GB2312" w:cs="LinTimes"/>
          <w:b w:val="0"/>
          <w:bCs/>
          <w:szCs w:val="21"/>
        </w:rPr>
        <w:t>数量单位：吨</w:t>
      </w:r>
    </w:p>
    <w:tbl>
      <w:tblPr>
        <w:tblStyle w:val="6"/>
        <w:tblW w:w="10012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950"/>
        <w:gridCol w:w="2175"/>
        <w:gridCol w:w="2012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</w:pP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</w:pP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>企业注册地址：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012" w:type="dxa"/>
            <w:gridSpan w:val="5"/>
            <w:vAlign w:val="center"/>
          </w:tcPr>
          <w:p>
            <w:pPr>
              <w:jc w:val="both"/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</w:pP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 xml:space="preserve">企业性质：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 xml:space="preserve"> □国有 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 xml:space="preserve">  □股份制 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 xml:space="preserve">  □民营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 xml:space="preserve">  □外商投资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</w:pP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</w:pP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>联系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  <w:lang w:eastAsia="zh-CN"/>
              </w:rPr>
              <w:t>人及联系</w:t>
            </w:r>
            <w:r>
              <w:rPr>
                <w:rFonts w:hint="default" w:ascii="LinTimes" w:hAnsi="LinTimes" w:eastAsia="仿宋_GB2312" w:cs="LinTimes"/>
                <w:b w:val="0"/>
                <w:bCs/>
                <w:kern w:val="0"/>
                <w:szCs w:val="21"/>
              </w:rPr>
              <w:t xml:space="preserve">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67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2022年是否获得关税配额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 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食糖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者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 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未获得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食糖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67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配额种类、数量及贸易方式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 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配额，其中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 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配额，其中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（1）一般贸易：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（1）一般贸易：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（2）加工贸易：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（2）加工贸易：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67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经营情况</w:t>
            </w:r>
          </w:p>
        </w:tc>
        <w:tc>
          <w:tcPr>
            <w:tcW w:w="8337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该产品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产量：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食糖年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用量：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8337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该产品年销售额（万元）：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以下由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获得年度关税配额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的企业填写（不包括代理进口）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配额量</w:t>
            </w: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实际进口量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（核销量）</w:t>
            </w: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restart"/>
            <w:vAlign w:val="center"/>
          </w:tcPr>
          <w:p>
            <w:pPr>
              <w:ind w:right="-220" w:rightChars="-105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中期调整退回量</w:t>
            </w: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是否同意对外提供本企业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数量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exact"/>
        </w:trPr>
        <w:tc>
          <w:tcPr>
            <w:tcW w:w="10012" w:type="dxa"/>
            <w:gridSpan w:val="5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本企业已阅知《202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食糖进口关税配额申请和分配细则》相关内容，并郑重承诺本企业符合食糖进口关税配额申请条件，提交的食糖进口关税配额各项申报材料真实、准确、有效；获得食糖进口关税配额后，保证按照国家有关法律、法规、规章开展进口业务。如违反本承诺，愿承担相应法律责任和后果，并接受相关惩戒。</w:t>
            </w: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申请企业（盖章）             企业法人代表人（签字）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                日期：</w:t>
            </w:r>
          </w:p>
        </w:tc>
      </w:tr>
    </w:tbl>
    <w:p>
      <w:pPr>
        <w:spacing w:line="280" w:lineRule="exact"/>
        <w:ind w:left="0" w:leftChars="-295" w:hanging="619" w:hangingChars="295"/>
        <w:rPr>
          <w:rStyle w:val="8"/>
          <w:rFonts w:hint="default" w:ascii="LinTimes" w:hAnsi="LinTimes" w:eastAsia="仿宋_GB2312" w:cs="LinTimes"/>
          <w:b w:val="0"/>
          <w:bCs w:val="0"/>
          <w:szCs w:val="21"/>
          <w:lang w:eastAsia="zh-CN"/>
        </w:rPr>
      </w:pPr>
      <w:r>
        <w:rPr>
          <w:rStyle w:val="8"/>
          <w:rFonts w:hint="default" w:ascii="LinTimes" w:hAnsi="LinTimes" w:eastAsia="仿宋_GB2312" w:cs="LinTimes"/>
          <w:b w:val="0"/>
          <w:bCs w:val="0"/>
          <w:szCs w:val="21"/>
          <w:lang w:eastAsia="zh-CN"/>
        </w:rPr>
        <w:t>填表说明：</w:t>
      </w:r>
    </w:p>
    <w:p>
      <w:pPr>
        <w:numPr>
          <w:ilvl w:val="0"/>
          <w:numId w:val="0"/>
        </w:numPr>
        <w:spacing w:line="280" w:lineRule="exact"/>
        <w:ind w:leftChars="-690"/>
        <w:rPr>
          <w:rStyle w:val="8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</w:pPr>
      <w:r>
        <w:rPr>
          <w:rStyle w:val="8"/>
          <w:rFonts w:hint="default" w:ascii="LinTimes" w:hAnsi="LinTimes" w:eastAsia="仿宋_GB2312" w:cs="LinTimes"/>
          <w:b w:val="0"/>
          <w:bCs w:val="0"/>
          <w:szCs w:val="21"/>
          <w:lang w:val="en-US" w:eastAsia="zh-CN"/>
        </w:rPr>
        <w:t xml:space="preserve">    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1.企业名称与统一社会信用代码必须一一对应，一码一申请。</w:t>
      </w:r>
    </w:p>
    <w:p>
      <w:pPr>
        <w:numPr>
          <w:ilvl w:val="0"/>
          <w:numId w:val="0"/>
        </w:numPr>
        <w:spacing w:line="280" w:lineRule="exact"/>
        <w:ind w:leftChars="-690" w:right="-932" w:rightChars="-444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    2.在“申请关税配额种类”中，企业可勾选非国营贸易关税配额，或者国营贸易关税配额，或者两者皆勾选。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rPr>
          <w:rFonts w:hint="default" w:ascii="LinTimes" w:hAnsi="LinTimes" w:cs="LinTimes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0"/>
          <w:szCs w:val="30"/>
        </w:rPr>
        <w:t>附2</w:t>
      </w:r>
      <w:r>
        <w:rPr>
          <w:rFonts w:hint="default" w:ascii="LinTimes" w:hAnsi="LinTimes" w:cs="LinTimes"/>
          <w:kern w:val="0"/>
          <w:sz w:val="32"/>
          <w:szCs w:val="32"/>
        </w:rPr>
        <w:t> </w:t>
      </w:r>
    </w:p>
    <w:p>
      <w:pPr>
        <w:spacing w:line="588" w:lineRule="exact"/>
        <w:jc w:val="center"/>
        <w:rPr>
          <w:rFonts w:hint="default" w:ascii="LinTimes" w:hAnsi="LinTimes" w:eastAsia="黑体" w:cs="LinTimes"/>
          <w:b w:val="0"/>
          <w:bCs/>
          <w:sz w:val="28"/>
          <w:szCs w:val="28"/>
        </w:rPr>
      </w:pPr>
      <w:r>
        <w:rPr>
          <w:rFonts w:hint="default" w:ascii="LinTimes" w:hAnsi="LinTimes" w:eastAsia="黑体" w:cs="LinTimes"/>
          <w:b w:val="0"/>
          <w:bCs/>
          <w:sz w:val="28"/>
          <w:szCs w:val="28"/>
        </w:rPr>
        <w:t>食糖进口税目表</w:t>
      </w:r>
    </w:p>
    <w:p>
      <w:pPr>
        <w:widowControl/>
        <w:jc w:val="left"/>
        <w:rPr>
          <w:rFonts w:hint="default" w:ascii="LinTimes" w:hAnsi="LinTimes" w:cs="LinTimes"/>
          <w:kern w:val="0"/>
          <w:sz w:val="24"/>
        </w:rPr>
      </w:pPr>
      <w:r>
        <w:rPr>
          <w:rFonts w:hint="default" w:ascii="LinTimes" w:hAnsi="LinTimes" w:cs="LinTimes"/>
          <w:kern w:val="0"/>
          <w:sz w:val="24"/>
        </w:rPr>
        <w:t> </w:t>
      </w:r>
    </w:p>
    <w:tbl>
      <w:tblPr>
        <w:tblStyle w:val="6"/>
        <w:tblW w:w="791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60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884" w:type="dxa"/>
            <w:vMerge w:val="restart"/>
            <w:tcBorders>
              <w:top w:val="single" w:color="auto" w:sz="4" w:space="0"/>
              <w:left w:val="single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税则号列</w:t>
            </w:r>
          </w:p>
        </w:tc>
        <w:tc>
          <w:tcPr>
            <w:tcW w:w="6035" w:type="dxa"/>
            <w:vMerge w:val="restar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货  品  名  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84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1884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8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17011200</w:t>
            </w:r>
          </w:p>
        </w:tc>
        <w:tc>
          <w:tcPr>
            <w:tcW w:w="6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未加香料或着色剂的甜菜原糖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8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17011300</w:t>
            </w:r>
          </w:p>
        </w:tc>
        <w:tc>
          <w:tcPr>
            <w:tcW w:w="6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未加香料或着色剂的本章子目注释二所述的甘蔗原糖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8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17011400</w:t>
            </w:r>
          </w:p>
        </w:tc>
        <w:tc>
          <w:tcPr>
            <w:tcW w:w="6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未加香料或着色剂其他甘蔗原糖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8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17019100</w:t>
            </w:r>
          </w:p>
        </w:tc>
        <w:tc>
          <w:tcPr>
            <w:tcW w:w="6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加有香料或着色剂的糖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8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17019910</w:t>
            </w:r>
          </w:p>
        </w:tc>
        <w:tc>
          <w:tcPr>
            <w:tcW w:w="6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砂糖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tblCellSpacing w:w="0" w:type="dxa"/>
          <w:jc w:val="center"/>
        </w:trPr>
        <w:tc>
          <w:tcPr>
            <w:tcW w:w="188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17019920</w:t>
            </w:r>
          </w:p>
        </w:tc>
        <w:tc>
          <w:tcPr>
            <w:tcW w:w="6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绵白糖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884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17019990</w:t>
            </w:r>
          </w:p>
        </w:tc>
        <w:tc>
          <w:tcPr>
            <w:tcW w:w="603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其他精制糖</w:t>
            </w:r>
          </w:p>
        </w:tc>
      </w:tr>
    </w:tbl>
    <w:p>
      <w:pPr>
        <w:rPr>
          <w:rFonts w:hint="default" w:ascii="LinTimes" w:hAnsi="LinTimes" w:cs="LinTimes"/>
        </w:rPr>
      </w:pPr>
    </w:p>
    <w:p>
      <w:pPr>
        <w:widowControl/>
        <w:ind w:firstLine="420" w:firstLineChars="200"/>
        <w:jc w:val="left"/>
        <w:rPr>
          <w:rFonts w:hint="default" w:ascii="LinTimes" w:hAnsi="LinTimes" w:cs="LinTimes"/>
        </w:rPr>
      </w:pPr>
    </w:p>
    <w:p>
      <w:pPr>
        <w:ind w:right="640"/>
        <w:rPr>
          <w:rFonts w:hint="default" w:ascii="LinTimes" w:hAnsi="LinTimes" w:eastAsia="仿宋_GB2312" w:cs="LinTimes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nTimes">
    <w:altName w:val="DejaVu Sans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B"/>
    <w:rsid w:val="00011F3F"/>
    <w:rsid w:val="000207B6"/>
    <w:rsid w:val="0004553B"/>
    <w:rsid w:val="00046C1E"/>
    <w:rsid w:val="000A416F"/>
    <w:rsid w:val="000B3220"/>
    <w:rsid w:val="000B7A79"/>
    <w:rsid w:val="000C1EB8"/>
    <w:rsid w:val="000E1BF3"/>
    <w:rsid w:val="000E2329"/>
    <w:rsid w:val="00123770"/>
    <w:rsid w:val="00135BC0"/>
    <w:rsid w:val="00177593"/>
    <w:rsid w:val="0019161D"/>
    <w:rsid w:val="001971FB"/>
    <w:rsid w:val="001A5DFB"/>
    <w:rsid w:val="001C4593"/>
    <w:rsid w:val="001D0651"/>
    <w:rsid w:val="001D3658"/>
    <w:rsid w:val="00222796"/>
    <w:rsid w:val="00233AEC"/>
    <w:rsid w:val="00234DE8"/>
    <w:rsid w:val="0024385A"/>
    <w:rsid w:val="0027516C"/>
    <w:rsid w:val="002B63E5"/>
    <w:rsid w:val="002E2BA9"/>
    <w:rsid w:val="00361A1B"/>
    <w:rsid w:val="00367E46"/>
    <w:rsid w:val="003A2D1E"/>
    <w:rsid w:val="003A4BA7"/>
    <w:rsid w:val="003B3E44"/>
    <w:rsid w:val="003B7ED8"/>
    <w:rsid w:val="003C63E1"/>
    <w:rsid w:val="00403C93"/>
    <w:rsid w:val="004361D9"/>
    <w:rsid w:val="00453157"/>
    <w:rsid w:val="004705AC"/>
    <w:rsid w:val="004842E3"/>
    <w:rsid w:val="00492DC8"/>
    <w:rsid w:val="004937CB"/>
    <w:rsid w:val="004A276F"/>
    <w:rsid w:val="004B67D7"/>
    <w:rsid w:val="004D0B5A"/>
    <w:rsid w:val="0051241B"/>
    <w:rsid w:val="0052245F"/>
    <w:rsid w:val="00533BE2"/>
    <w:rsid w:val="005566A4"/>
    <w:rsid w:val="00562F75"/>
    <w:rsid w:val="005A63AE"/>
    <w:rsid w:val="005D02E8"/>
    <w:rsid w:val="005D775E"/>
    <w:rsid w:val="00607F68"/>
    <w:rsid w:val="0062039A"/>
    <w:rsid w:val="00660165"/>
    <w:rsid w:val="00687197"/>
    <w:rsid w:val="006B5A63"/>
    <w:rsid w:val="006D0E20"/>
    <w:rsid w:val="006E0246"/>
    <w:rsid w:val="006E0554"/>
    <w:rsid w:val="00702B9B"/>
    <w:rsid w:val="007143FE"/>
    <w:rsid w:val="007155F2"/>
    <w:rsid w:val="0074745F"/>
    <w:rsid w:val="00747EFE"/>
    <w:rsid w:val="0076554D"/>
    <w:rsid w:val="00775319"/>
    <w:rsid w:val="007A67B4"/>
    <w:rsid w:val="007A7642"/>
    <w:rsid w:val="007D4654"/>
    <w:rsid w:val="007E110A"/>
    <w:rsid w:val="007E1534"/>
    <w:rsid w:val="00813122"/>
    <w:rsid w:val="00832175"/>
    <w:rsid w:val="008349BD"/>
    <w:rsid w:val="00840A87"/>
    <w:rsid w:val="00846C1F"/>
    <w:rsid w:val="0085215A"/>
    <w:rsid w:val="00857072"/>
    <w:rsid w:val="00886CE9"/>
    <w:rsid w:val="008A1217"/>
    <w:rsid w:val="008C0813"/>
    <w:rsid w:val="008E4F78"/>
    <w:rsid w:val="008F16EE"/>
    <w:rsid w:val="00937F24"/>
    <w:rsid w:val="009422BD"/>
    <w:rsid w:val="00955A68"/>
    <w:rsid w:val="00957ACA"/>
    <w:rsid w:val="009D0E65"/>
    <w:rsid w:val="009D3B46"/>
    <w:rsid w:val="009D44AE"/>
    <w:rsid w:val="009F65A3"/>
    <w:rsid w:val="00A037F0"/>
    <w:rsid w:val="00A2107D"/>
    <w:rsid w:val="00A47D74"/>
    <w:rsid w:val="00A65EE4"/>
    <w:rsid w:val="00A90F8D"/>
    <w:rsid w:val="00AB531D"/>
    <w:rsid w:val="00AB6365"/>
    <w:rsid w:val="00AC07BF"/>
    <w:rsid w:val="00AC7A24"/>
    <w:rsid w:val="00AD09B4"/>
    <w:rsid w:val="00B27A5D"/>
    <w:rsid w:val="00B30761"/>
    <w:rsid w:val="00B3161D"/>
    <w:rsid w:val="00B326AA"/>
    <w:rsid w:val="00B45DCE"/>
    <w:rsid w:val="00B53D6D"/>
    <w:rsid w:val="00B65DDA"/>
    <w:rsid w:val="00BA6E1B"/>
    <w:rsid w:val="00BA7FA5"/>
    <w:rsid w:val="00BB0092"/>
    <w:rsid w:val="00BB23A2"/>
    <w:rsid w:val="00BB3508"/>
    <w:rsid w:val="00BC368F"/>
    <w:rsid w:val="00BC44FB"/>
    <w:rsid w:val="00C06B44"/>
    <w:rsid w:val="00C07587"/>
    <w:rsid w:val="00C250B7"/>
    <w:rsid w:val="00C30727"/>
    <w:rsid w:val="00C45901"/>
    <w:rsid w:val="00C92B1F"/>
    <w:rsid w:val="00CA1D20"/>
    <w:rsid w:val="00CA6FF3"/>
    <w:rsid w:val="00CB7E0B"/>
    <w:rsid w:val="00CC25F4"/>
    <w:rsid w:val="00CC275E"/>
    <w:rsid w:val="00D03AEF"/>
    <w:rsid w:val="00D05A86"/>
    <w:rsid w:val="00D221F8"/>
    <w:rsid w:val="00D302CB"/>
    <w:rsid w:val="00D30F64"/>
    <w:rsid w:val="00D34450"/>
    <w:rsid w:val="00D5165C"/>
    <w:rsid w:val="00DA1DE5"/>
    <w:rsid w:val="00DC59EB"/>
    <w:rsid w:val="00DF6468"/>
    <w:rsid w:val="00E215D0"/>
    <w:rsid w:val="00E44017"/>
    <w:rsid w:val="00E54F05"/>
    <w:rsid w:val="00E56C7D"/>
    <w:rsid w:val="00E62FD6"/>
    <w:rsid w:val="00E83FAE"/>
    <w:rsid w:val="00E84CB9"/>
    <w:rsid w:val="00E84F7B"/>
    <w:rsid w:val="00EA6F5B"/>
    <w:rsid w:val="00ED17AE"/>
    <w:rsid w:val="00EE4B7C"/>
    <w:rsid w:val="00EF5982"/>
    <w:rsid w:val="00EF6AF5"/>
    <w:rsid w:val="00F12E6C"/>
    <w:rsid w:val="00F54DE2"/>
    <w:rsid w:val="1FEEFC85"/>
    <w:rsid w:val="33B7760C"/>
    <w:rsid w:val="3DEB5CF9"/>
    <w:rsid w:val="3DEFA77E"/>
    <w:rsid w:val="3FDFCED3"/>
    <w:rsid w:val="43E63109"/>
    <w:rsid w:val="47BD31EE"/>
    <w:rsid w:val="5AFE9F62"/>
    <w:rsid w:val="5BD94BAB"/>
    <w:rsid w:val="5BDBC3D8"/>
    <w:rsid w:val="5E561883"/>
    <w:rsid w:val="5EBEEEDE"/>
    <w:rsid w:val="5F364B36"/>
    <w:rsid w:val="5F37A060"/>
    <w:rsid w:val="5FFF5A69"/>
    <w:rsid w:val="62C995D1"/>
    <w:rsid w:val="6F723789"/>
    <w:rsid w:val="6F9E3371"/>
    <w:rsid w:val="725B6E3B"/>
    <w:rsid w:val="73FA53A1"/>
    <w:rsid w:val="76FFEB55"/>
    <w:rsid w:val="77DE203F"/>
    <w:rsid w:val="77FFAF4E"/>
    <w:rsid w:val="7DC660C9"/>
    <w:rsid w:val="7DEF9B99"/>
    <w:rsid w:val="7E7A126B"/>
    <w:rsid w:val="7EDFA467"/>
    <w:rsid w:val="7EFE0191"/>
    <w:rsid w:val="7F645E8E"/>
    <w:rsid w:val="7F64E655"/>
    <w:rsid w:val="7F7040C2"/>
    <w:rsid w:val="7FE8CF3B"/>
    <w:rsid w:val="8F7EE4AA"/>
    <w:rsid w:val="95FF8764"/>
    <w:rsid w:val="AEF688DD"/>
    <w:rsid w:val="AF77AE65"/>
    <w:rsid w:val="BFEFB840"/>
    <w:rsid w:val="C27F584E"/>
    <w:rsid w:val="CE531AC0"/>
    <w:rsid w:val="D0BE40A2"/>
    <w:rsid w:val="D21B3F08"/>
    <w:rsid w:val="D5F9DEE6"/>
    <w:rsid w:val="D77F7A5D"/>
    <w:rsid w:val="D7EF442F"/>
    <w:rsid w:val="DB7FDFD4"/>
    <w:rsid w:val="DE3D1B78"/>
    <w:rsid w:val="DEB7F45A"/>
    <w:rsid w:val="DEF5E113"/>
    <w:rsid w:val="DEFB61BE"/>
    <w:rsid w:val="DEFDFE72"/>
    <w:rsid w:val="DF2FEE50"/>
    <w:rsid w:val="E57F91F7"/>
    <w:rsid w:val="E72D47E4"/>
    <w:rsid w:val="EB99AA27"/>
    <w:rsid w:val="EE719E95"/>
    <w:rsid w:val="F3EBC6C8"/>
    <w:rsid w:val="F77A40B6"/>
    <w:rsid w:val="F7F3D9CE"/>
    <w:rsid w:val="F7FFFA64"/>
    <w:rsid w:val="FAD8BF14"/>
    <w:rsid w:val="FCFEE496"/>
    <w:rsid w:val="FF1EEE11"/>
    <w:rsid w:val="FF770D83"/>
    <w:rsid w:val="FFFB48B3"/>
    <w:rsid w:val="FFFD363D"/>
    <w:rsid w:val="FFFDD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265</Characters>
  <Lines>2</Lines>
  <Paragraphs>1</Paragraphs>
  <TotalTime>67</TotalTime>
  <ScaleCrop>false</ScaleCrop>
  <LinksUpToDate>false</LinksUpToDate>
  <CharactersWithSpaces>310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2017-09-30T18:20:00Z</dcterms:created>
  <dc:creator>Administrator</dc:creator>
  <cp:lastModifiedBy>kylin</cp:lastModifiedBy>
  <cp:lastPrinted>2022-09-17T08:08:00Z</cp:lastPrinted>
  <dcterms:modified xsi:type="dcterms:W3CDTF">2022-09-29T14:43:24Z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